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3A5D9" w14:textId="77777777" w:rsidR="00533DF6" w:rsidRDefault="00533DF6" w:rsidP="00533DF6">
      <w:pPr>
        <w:pStyle w:val="Kopfzeile"/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</w:pPr>
      <w:r w:rsidRPr="006F4928"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 xml:space="preserve">Didaktischer Hinweis zur </w:t>
      </w:r>
      <w:r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>Lernphase</w:t>
      </w:r>
    </w:p>
    <w:p w14:paraId="75DE5A28" w14:textId="77777777" w:rsidR="00533DF6" w:rsidRDefault="00533DF6" w:rsidP="00533DF6">
      <w:pPr>
        <w:pStyle w:val="Kopfzeile"/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</w:pPr>
    </w:p>
    <w:p w14:paraId="6E35B90C" w14:textId="77777777" w:rsidR="008363D7" w:rsidRDefault="00533DF6" w:rsidP="00533DF6">
      <w:pPr>
        <w:pStyle w:val="Kopfzeile"/>
        <w:rPr>
          <w:rFonts w:ascii="Century Gothic" w:hAnsi="Century Gothic"/>
          <w:b/>
          <w:color w:val="8EAADB" w:themeColor="accent1" w:themeTint="99"/>
          <w:sz w:val="24"/>
          <w:szCs w:val="24"/>
        </w:rPr>
      </w:pPr>
      <w:r w:rsidRPr="00533DF6">
        <w:rPr>
          <w:rFonts w:ascii="Century Gothic" w:hAnsi="Century Gothic"/>
          <w:b/>
          <w:color w:val="8EAADB" w:themeColor="accent1" w:themeTint="99"/>
          <w:sz w:val="24"/>
          <w:szCs w:val="24"/>
        </w:rPr>
        <w:t>Station:</w:t>
      </w:r>
      <w:r>
        <w:rPr>
          <w:rFonts w:ascii="Century Gothic" w:hAnsi="Century Gothic"/>
          <w:b/>
          <w:color w:val="8EAADB" w:themeColor="accent1" w:themeTint="99"/>
          <w:sz w:val="24"/>
          <w:szCs w:val="24"/>
        </w:rPr>
        <w:t xml:space="preserve"> </w:t>
      </w:r>
      <w:r w:rsidR="00686A8F" w:rsidRPr="00533DF6">
        <w:rPr>
          <w:rFonts w:ascii="Century Gothic" w:hAnsi="Century Gothic"/>
          <w:b/>
          <w:color w:val="8EAADB" w:themeColor="accent1" w:themeTint="99"/>
          <w:sz w:val="24"/>
          <w:szCs w:val="24"/>
        </w:rPr>
        <w:t>Perspektivische Darstellung durch Anordnung oder Größenveränderung</w:t>
      </w:r>
    </w:p>
    <w:p w14:paraId="1E08FFC4" w14:textId="77777777" w:rsidR="00533DF6" w:rsidRPr="00533DF6" w:rsidRDefault="00533DF6" w:rsidP="00533DF6">
      <w:pPr>
        <w:pStyle w:val="Kopfzeile"/>
        <w:rPr>
          <w:rFonts w:ascii="Century Gothic" w:hAnsi="Century Gothic"/>
          <w:b/>
          <w:color w:val="8EAADB" w:themeColor="accent1" w:themeTint="99"/>
          <w:sz w:val="24"/>
          <w:szCs w:val="24"/>
        </w:rPr>
      </w:pPr>
    </w:p>
    <w:p w14:paraId="5A48C629" w14:textId="77C399EE" w:rsidR="00686A8F" w:rsidRDefault="00686A8F" w:rsidP="00533DF6">
      <w:pPr>
        <w:jc w:val="both"/>
      </w:pPr>
      <w:r w:rsidRPr="00533DF6">
        <w:rPr>
          <w:b/>
          <w:color w:val="2F5496" w:themeColor="accent1" w:themeShade="BF"/>
        </w:rPr>
        <w:t>Ziel</w:t>
      </w:r>
      <w:r w:rsidRPr="00686A8F">
        <w:rPr>
          <w:b/>
        </w:rPr>
        <w:t>:</w:t>
      </w:r>
      <w:r>
        <w:t xml:space="preserve"> Die Schüler</w:t>
      </w:r>
      <w:r w:rsidR="00533DF6">
        <w:t>i</w:t>
      </w:r>
      <w:r>
        <w:t>nnen</w:t>
      </w:r>
      <w:r w:rsidR="00533DF6">
        <w:t xml:space="preserve"> und Schüler</w:t>
      </w:r>
      <w:r>
        <w:t xml:space="preserve"> entdecken anhand der Station systematisch die drei </w:t>
      </w:r>
      <w:r w:rsidRPr="00533DF6">
        <w:rPr>
          <w:color w:val="000000" w:themeColor="text1"/>
        </w:rPr>
        <w:t>Darstellungsmittel</w:t>
      </w:r>
      <w:r w:rsidR="00533DF6" w:rsidRPr="00533DF6">
        <w:rPr>
          <w:color w:val="000000" w:themeColor="text1"/>
        </w:rPr>
        <w:softHyphen/>
      </w:r>
      <w:r w:rsidR="00533DF6">
        <w:rPr>
          <w:color w:val="000000" w:themeColor="text1"/>
        </w:rPr>
        <w:t xml:space="preserve">   </w:t>
      </w:r>
      <w:r w:rsidR="00533DF6">
        <w:rPr>
          <w:rFonts w:cstheme="minorHAnsi"/>
          <w:color w:val="000000" w:themeColor="text1"/>
        </w:rPr>
        <w:t xml:space="preserve">̶   </w:t>
      </w:r>
      <w:r w:rsidRPr="00533DF6">
        <w:rPr>
          <w:color w:val="000000" w:themeColor="text1"/>
        </w:rPr>
        <w:t>Größenabnahme, Höhenunterschied und Überdeckung</w:t>
      </w:r>
      <w:r w:rsidR="00533DF6">
        <w:rPr>
          <w:color w:val="000000" w:themeColor="text1"/>
        </w:rPr>
        <w:t xml:space="preserve">   </w:t>
      </w:r>
      <w:r w:rsidR="00533DF6">
        <w:rPr>
          <w:rFonts w:cstheme="minorHAnsi"/>
          <w:color w:val="000000" w:themeColor="text1"/>
        </w:rPr>
        <w:t xml:space="preserve">̶  </w:t>
      </w:r>
      <w:r w:rsidRPr="00533DF6">
        <w:rPr>
          <w:color w:val="000000" w:themeColor="text1"/>
        </w:rPr>
        <w:t xml:space="preserve"> mit Hilfe von </w:t>
      </w:r>
      <w:r w:rsidR="00533DF6">
        <w:rPr>
          <w:color w:val="000000" w:themeColor="text1"/>
        </w:rPr>
        <w:t xml:space="preserve">verschiedenen Aufgaben </w:t>
      </w:r>
      <w:r>
        <w:t>und formulieren selbständig Regeln für ihre Anwendung. Anhand von Lösungsblättern und einem Infotext werden die Ergebnisse gesichert</w:t>
      </w:r>
      <w:r w:rsidR="00A91DBC">
        <w:t xml:space="preserve"> (vgl. Arbeitsblätter zur Station)</w:t>
      </w:r>
      <w:r w:rsidR="002332EB">
        <w:t>,</w:t>
      </w:r>
      <w:r>
        <w:t xml:space="preserve"> überprüft und abschließend auf einem Portfolioblatt anschaulich zusammengefasst. </w:t>
      </w:r>
    </w:p>
    <w:p w14:paraId="34E7096F" w14:textId="77777777" w:rsidR="00686A8F" w:rsidRDefault="00686A8F">
      <w:r w:rsidRPr="00533DF6">
        <w:rPr>
          <w:b/>
          <w:color w:val="2F5496" w:themeColor="accent1" w:themeShade="BF"/>
        </w:rPr>
        <w:t>Sozialform</w:t>
      </w:r>
      <w:r>
        <w:t>: EA oder PA</w:t>
      </w:r>
    </w:p>
    <w:p w14:paraId="1E61A870" w14:textId="77777777" w:rsidR="00686A8F" w:rsidRDefault="00686A8F"/>
    <w:p w14:paraId="2387A49C" w14:textId="77777777" w:rsidR="00686A8F" w:rsidRPr="00A91DBC" w:rsidRDefault="00686A8F">
      <w:pPr>
        <w:rPr>
          <w:b/>
          <w:color w:val="2F5496" w:themeColor="accent1" w:themeShade="BF"/>
          <w:u w:val="single"/>
        </w:rPr>
      </w:pPr>
      <w:r w:rsidRPr="00A91DBC">
        <w:rPr>
          <w:b/>
          <w:color w:val="2F5496" w:themeColor="accent1" w:themeShade="BF"/>
          <w:u w:val="single"/>
        </w:rPr>
        <w:t>Vorbereitung der Station:</w:t>
      </w:r>
    </w:p>
    <w:p w14:paraId="25C2B8EF" w14:textId="77777777" w:rsidR="00686A8F" w:rsidRPr="00A91DBC" w:rsidRDefault="00686A8F">
      <w:pPr>
        <w:rPr>
          <w:color w:val="2F5496" w:themeColor="accent1" w:themeShade="BF"/>
        </w:rPr>
      </w:pPr>
      <w:r w:rsidRPr="00A91DBC">
        <w:rPr>
          <w:b/>
          <w:color w:val="2F5496" w:themeColor="accent1" w:themeShade="BF"/>
        </w:rPr>
        <w:t>Kopien</w:t>
      </w:r>
      <w:r w:rsidRPr="00A91DBC">
        <w:rPr>
          <w:color w:val="2F5496" w:themeColor="accent1" w:themeShade="BF"/>
        </w:rPr>
        <w:t xml:space="preserve">: </w:t>
      </w:r>
    </w:p>
    <w:p w14:paraId="3A3D6E82" w14:textId="423DAB86" w:rsidR="00686A8F" w:rsidRDefault="00686A8F" w:rsidP="00686A8F">
      <w:pPr>
        <w:pStyle w:val="Listenabsatz"/>
        <w:numPr>
          <w:ilvl w:val="0"/>
          <w:numId w:val="1"/>
        </w:numPr>
      </w:pPr>
      <w:r>
        <w:t>Aufgabenzettel und Material</w:t>
      </w:r>
      <w:r w:rsidR="002332EB">
        <w:t xml:space="preserve"> (Material 1 </w:t>
      </w:r>
      <w:r w:rsidR="00A91DBC">
        <w:t xml:space="preserve">ggf. auf </w:t>
      </w:r>
      <w:r w:rsidR="00DE4F95">
        <w:t>Folie) in</w:t>
      </w:r>
      <w:r>
        <w:t xml:space="preserve"> </w:t>
      </w:r>
      <w:r w:rsidR="00293F28">
        <w:t xml:space="preserve">der </w:t>
      </w:r>
      <w:r>
        <w:t>Anzahl</w:t>
      </w:r>
      <w:r w:rsidR="00293F28">
        <w:t>,</w:t>
      </w:r>
      <w:r>
        <w:t xml:space="preserve"> der an einer Station arbeitenden Schüler</w:t>
      </w:r>
      <w:r w:rsidR="00293F28">
        <w:t xml:space="preserve">, </w:t>
      </w:r>
      <w:r>
        <w:t xml:space="preserve">kopieren und </w:t>
      </w:r>
      <w:r w:rsidR="00AB2380">
        <w:t>ggf. laminieren.</w:t>
      </w:r>
    </w:p>
    <w:p w14:paraId="61C54837" w14:textId="5F1469BA" w:rsidR="00686A8F" w:rsidRDefault="00356EDD" w:rsidP="00686A8F">
      <w:pPr>
        <w:pStyle w:val="Listenabsatz"/>
        <w:numPr>
          <w:ilvl w:val="0"/>
          <w:numId w:val="1"/>
        </w:numPr>
      </w:pPr>
      <w:r>
        <w:t xml:space="preserve">Bei Bedarf: </w:t>
      </w:r>
      <w:r w:rsidR="00686A8F">
        <w:t>Portfoliovordruck</w:t>
      </w:r>
      <w:r w:rsidR="00FC6F9B">
        <w:t xml:space="preserve"> </w:t>
      </w:r>
      <w:bookmarkStart w:id="0" w:name="_GoBack"/>
      <w:r w:rsidR="00FC6F9B">
        <w:t>(letztes Blatt der Station)</w:t>
      </w:r>
      <w:r w:rsidR="00686A8F">
        <w:t xml:space="preserve"> </w:t>
      </w:r>
      <w:bookmarkEnd w:id="0"/>
      <w:r w:rsidR="00686A8F">
        <w:t>i</w:t>
      </w:r>
      <w:r w:rsidR="00962D87">
        <w:t xml:space="preserve">m Klassensatz </w:t>
      </w:r>
      <w:r w:rsidR="00686A8F">
        <w:t>kopieren</w:t>
      </w:r>
      <w:r>
        <w:t xml:space="preserve"> oder eigenständige Portfolioblätter erstellen lassen.</w:t>
      </w:r>
    </w:p>
    <w:p w14:paraId="687061C3" w14:textId="77777777" w:rsidR="00686A8F" w:rsidRPr="00A91DBC" w:rsidRDefault="00686A8F">
      <w:pPr>
        <w:rPr>
          <w:b/>
          <w:color w:val="2F5496" w:themeColor="accent1" w:themeShade="BF"/>
        </w:rPr>
      </w:pPr>
      <w:r w:rsidRPr="00A91DBC">
        <w:rPr>
          <w:b/>
          <w:color w:val="2F5496" w:themeColor="accent1" w:themeShade="BF"/>
        </w:rPr>
        <w:t>Weitere Vorbereitung:</w:t>
      </w:r>
    </w:p>
    <w:p w14:paraId="3A635260" w14:textId="77777777" w:rsidR="00686A8F" w:rsidRDefault="00A91DBC" w:rsidP="00686A8F">
      <w:pPr>
        <w:pStyle w:val="Listenabsatz"/>
        <w:numPr>
          <w:ilvl w:val="0"/>
          <w:numId w:val="2"/>
        </w:numPr>
      </w:pPr>
      <w:r>
        <w:t xml:space="preserve">Ggf. </w:t>
      </w:r>
      <w:r w:rsidR="00686A8F">
        <w:t>Figuren in Material 1 auf Folie kopieren und ausschneiden</w:t>
      </w:r>
      <w:r w:rsidR="00293F28">
        <w:t>. Die</w:t>
      </w:r>
      <w:r w:rsidR="00686A8F">
        <w:t xml:space="preserve"> Verwahrung i</w:t>
      </w:r>
      <w:r w:rsidR="00293F28">
        <w:t xml:space="preserve">m </w:t>
      </w:r>
      <w:r w:rsidR="00686A8F">
        <w:t xml:space="preserve">Briefumschlag bietet sich an. </w:t>
      </w:r>
      <w:r w:rsidR="002332EB">
        <w:t>W</w:t>
      </w:r>
      <w:r w:rsidR="00686A8F">
        <w:t>eißes Blatt zum Anordnen dazu legen.</w:t>
      </w:r>
    </w:p>
    <w:p w14:paraId="0F5C133B" w14:textId="77777777" w:rsidR="00356EDD" w:rsidRDefault="00356EDD" w:rsidP="00686A8F">
      <w:pPr>
        <w:pStyle w:val="Listenabsatz"/>
        <w:numPr>
          <w:ilvl w:val="0"/>
          <w:numId w:val="2"/>
        </w:numPr>
      </w:pPr>
      <w:r>
        <w:t>Kamera für die Übungsaufgabe bereitlegen, oder die Schüler die Aufgabe mit dem Handy bearbeiten lassen</w:t>
      </w:r>
      <w:r w:rsidR="00A91DBC">
        <w:t>.</w:t>
      </w:r>
    </w:p>
    <w:p w14:paraId="5A5A768E" w14:textId="77777777" w:rsidR="00686A8F" w:rsidRDefault="00686A8F" w:rsidP="00686A8F"/>
    <w:p w14:paraId="5B83014C" w14:textId="77777777" w:rsidR="00686A8F" w:rsidRDefault="00686A8F" w:rsidP="00686A8F"/>
    <w:sectPr w:rsidR="00686A8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FF458" w14:textId="77777777" w:rsidR="00A60567" w:rsidRDefault="00A60567" w:rsidP="00356EDD">
      <w:pPr>
        <w:spacing w:after="0" w:line="240" w:lineRule="auto"/>
      </w:pPr>
      <w:r>
        <w:separator/>
      </w:r>
    </w:p>
  </w:endnote>
  <w:endnote w:type="continuationSeparator" w:id="0">
    <w:p w14:paraId="3F6EE08E" w14:textId="77777777" w:rsidR="00A60567" w:rsidRDefault="00A60567" w:rsidP="0035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55586" w14:textId="77777777" w:rsidR="00A60567" w:rsidRDefault="00A60567" w:rsidP="00356EDD">
      <w:pPr>
        <w:spacing w:after="0" w:line="240" w:lineRule="auto"/>
      </w:pPr>
      <w:r>
        <w:separator/>
      </w:r>
    </w:p>
  </w:footnote>
  <w:footnote w:type="continuationSeparator" w:id="0">
    <w:p w14:paraId="5A02E5BA" w14:textId="77777777" w:rsidR="00A60567" w:rsidRDefault="00A60567" w:rsidP="00356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D5903" w14:textId="77777777" w:rsidR="00533DF6" w:rsidRPr="00920A96" w:rsidRDefault="00533DF6" w:rsidP="00533DF6">
    <w:pPr>
      <w:rPr>
        <w:sz w:val="20"/>
        <w:szCs w:val="20"/>
      </w:rPr>
    </w:pPr>
    <w:r w:rsidRPr="00920A96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3EF3AA9" wp14:editId="7BAA4107">
          <wp:simplePos x="0" y="0"/>
          <wp:positionH relativeFrom="column">
            <wp:posOffset>5315439</wp:posOffset>
          </wp:positionH>
          <wp:positionV relativeFrom="paragraph">
            <wp:posOffset>-103505</wp:posOffset>
          </wp:positionV>
          <wp:extent cx="440055" cy="440055"/>
          <wp:effectExtent l="0" t="0" r="0" b="0"/>
          <wp:wrapNone/>
          <wp:docPr id="5" name="Grafik 5" descr="Au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Aug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0A96">
      <w:rPr>
        <w:rFonts w:ascii="Century Gothic" w:hAnsi="Century Gothic" w:cs="Calibri"/>
        <w:color w:val="2F5496"/>
        <w:sz w:val="20"/>
        <w:szCs w:val="20"/>
      </w:rPr>
      <w:t>Illusion oder Realität? -Perspektivische Darstellung-</w:t>
    </w:r>
  </w:p>
  <w:p w14:paraId="6C9CC3CB" w14:textId="77777777" w:rsidR="00533DF6" w:rsidRPr="00533DF6" w:rsidRDefault="00533DF6" w:rsidP="00533D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A4270"/>
    <w:multiLevelType w:val="hybridMultilevel"/>
    <w:tmpl w:val="ECC02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330F8"/>
    <w:multiLevelType w:val="hybridMultilevel"/>
    <w:tmpl w:val="BC34B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A8F"/>
    <w:rsid w:val="00197004"/>
    <w:rsid w:val="001D279B"/>
    <w:rsid w:val="001D4D1E"/>
    <w:rsid w:val="00222642"/>
    <w:rsid w:val="002332EB"/>
    <w:rsid w:val="0028136A"/>
    <w:rsid w:val="00293F28"/>
    <w:rsid w:val="00356EDD"/>
    <w:rsid w:val="00533DF6"/>
    <w:rsid w:val="00686A8F"/>
    <w:rsid w:val="007B68EE"/>
    <w:rsid w:val="008363D7"/>
    <w:rsid w:val="00843745"/>
    <w:rsid w:val="008A05C2"/>
    <w:rsid w:val="00962D87"/>
    <w:rsid w:val="00A30FDF"/>
    <w:rsid w:val="00A60567"/>
    <w:rsid w:val="00A91DBC"/>
    <w:rsid w:val="00AB2380"/>
    <w:rsid w:val="00BA1DCD"/>
    <w:rsid w:val="00CA087B"/>
    <w:rsid w:val="00DE4F95"/>
    <w:rsid w:val="00DF3E25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6876B"/>
  <w15:docId w15:val="{B31A0AFF-DAA0-4EC8-A0FD-649967D3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A8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56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56EDD"/>
  </w:style>
  <w:style w:type="paragraph" w:styleId="Fuzeile">
    <w:name w:val="footer"/>
    <w:basedOn w:val="Standard"/>
    <w:link w:val="FuzeileZchn"/>
    <w:uiPriority w:val="99"/>
    <w:unhideWhenUsed/>
    <w:rsid w:val="00356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56EDD"/>
  </w:style>
  <w:style w:type="character" w:styleId="Kommentarzeichen">
    <w:name w:val="annotation reference"/>
    <w:basedOn w:val="Absatz-Standardschriftart"/>
    <w:uiPriority w:val="99"/>
    <w:semiHidden/>
    <w:unhideWhenUsed/>
    <w:rsid w:val="0022264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264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264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264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264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26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-Maria Helling</dc:creator>
  <cp:lastModifiedBy>Anna -Maria Helling</cp:lastModifiedBy>
  <cp:revision>5</cp:revision>
  <cp:lastPrinted>2019-01-14T18:18:00Z</cp:lastPrinted>
  <dcterms:created xsi:type="dcterms:W3CDTF">2019-01-10T14:46:00Z</dcterms:created>
  <dcterms:modified xsi:type="dcterms:W3CDTF">2019-01-27T14:29:00Z</dcterms:modified>
</cp:coreProperties>
</file>