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5234" w:rsidRPr="00F8107C" w14:paraId="35AB830E" w14:textId="77777777">
        <w:tc>
          <w:tcPr>
            <w:tcW w:w="9778" w:type="dxa"/>
            <w:tcBorders>
              <w:bottom w:val="nil"/>
            </w:tcBorders>
            <w:shd w:val="clear" w:color="auto" w:fill="auto"/>
          </w:tcPr>
          <w:p w14:paraId="17382D31" w14:textId="0A11CF7F" w:rsidR="00F15234" w:rsidRPr="00460E50" w:rsidRDefault="007356D1" w:rsidP="00F1523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8"/>
                <w:szCs w:val="20"/>
                <w:u w:val="single"/>
                <w:lang w:eastAsia="de-DE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 xml:space="preserve">Neugriechisch als 3. FS – </w:t>
            </w:r>
            <w:r w:rsidR="00027730" w:rsidRPr="00460E50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 xml:space="preserve">Konkretisiertes </w:t>
            </w:r>
            <w:r w:rsidR="00F15234" w:rsidRPr="00460E50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 xml:space="preserve">Unterrichtsvorhaben </w:t>
            </w:r>
            <w:r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>9</w:t>
            </w:r>
            <w:r w:rsidR="00F15234" w:rsidRPr="00460E50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>.</w:t>
            </w:r>
            <w:r w:rsidR="009474BA" w:rsidRPr="00460E50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>2</w:t>
            </w:r>
            <w:r w:rsidR="00F15234" w:rsidRPr="00460E50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>-1</w:t>
            </w:r>
          </w:p>
          <w:p w14:paraId="612A7A87" w14:textId="31E49AA5" w:rsidR="00F15234" w:rsidRPr="00F15234" w:rsidRDefault="007356D1" w:rsidP="009474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Cs w:val="20"/>
                <w:lang w:val="en-US" w:eastAsia="de-DE"/>
              </w:rPr>
            </w:pPr>
            <w:r w:rsidRPr="007356D1">
              <w:rPr>
                <w:rFonts w:ascii="Arial" w:hAnsi="Arial"/>
                <w:b/>
                <w:bCs/>
                <w:i/>
                <w:sz w:val="24"/>
                <w:szCs w:val="24"/>
                <w:lang w:val="en-US"/>
              </w:rPr>
              <w:t>“</w:t>
            </w:r>
            <w:r w:rsidRPr="007356D1">
              <w:rPr>
                <w:rFonts w:ascii="Arial" w:hAnsi="Arial"/>
                <w:b/>
                <w:bCs/>
                <w:i/>
                <w:sz w:val="24"/>
                <w:szCs w:val="24"/>
                <w:lang w:val="el-GR"/>
              </w:rPr>
              <w:t>Σαββατοκύριακο!</w:t>
            </w:r>
            <w:r w:rsidRPr="007356D1">
              <w:rPr>
                <w:rFonts w:ascii="Arial" w:hAnsi="Arial"/>
                <w:b/>
                <w:bCs/>
                <w:i/>
                <w:sz w:val="24"/>
                <w:szCs w:val="24"/>
                <w:lang w:val="en-GB"/>
              </w:rPr>
              <w:t xml:space="preserve">” – </w:t>
            </w:r>
            <w:r w:rsidRPr="007356D1">
              <w:rPr>
                <w:rFonts w:ascii="Arial" w:hAnsi="Arial"/>
                <w:b/>
                <w:bCs/>
                <w:i/>
                <w:sz w:val="24"/>
                <w:szCs w:val="24"/>
                <w:lang w:val="el-GR"/>
              </w:rPr>
              <w:t>Ψώνια και δραστηριότητες του ελεύθερου χρόνου</w:t>
            </w:r>
          </w:p>
        </w:tc>
      </w:tr>
      <w:tr w:rsidR="00F15234" w:rsidRPr="009F31E1" w14:paraId="21248DF3" w14:textId="77777777">
        <w:tc>
          <w:tcPr>
            <w:tcW w:w="9778" w:type="dxa"/>
            <w:tcBorders>
              <w:top w:val="nil"/>
              <w:bottom w:val="nil"/>
            </w:tcBorders>
            <w:shd w:val="clear" w:color="auto" w:fill="D9D9D9"/>
          </w:tcPr>
          <w:p w14:paraId="0FCF8D26" w14:textId="18E8EAF1" w:rsidR="00446D41" w:rsidRPr="001D79B3" w:rsidRDefault="00F15234" w:rsidP="00B326EA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0"/>
                <w:szCs w:val="20"/>
                <w:lang w:eastAsia="de-DE"/>
              </w:rPr>
            </w:pPr>
            <w:r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Dieses Unterrichtsvorhaben</w:t>
            </w:r>
            <w:r w:rsidR="00A83E7A"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zielt auf interkulturelle Handlungsfähigkeit in den Bereichen </w:t>
            </w:r>
            <w:r w:rsidR="001D79B3" w:rsidRPr="001D79B3">
              <w:rPr>
                <w:rFonts w:ascii="Arial Narrow" w:eastAsia="Times New Roman" w:hAnsi="Arial Narrow"/>
                <w:bCs/>
                <w:sz w:val="20"/>
                <w:szCs w:val="20"/>
                <w:lang w:eastAsia="de-DE"/>
              </w:rPr>
              <w:t>Freizeitaktivitäten, Stadt und Geschäfte</w:t>
            </w:r>
            <w:r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. </w:t>
            </w:r>
            <w:r w:rsidR="00A83E7A"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Anhand realer </w:t>
            </w:r>
            <w:r w:rsidR="002C709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wie</w:t>
            </w:r>
            <w:r w:rsidR="00A83E7A"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literarisch-fiktiver Leb</w:t>
            </w:r>
            <w:r w:rsidR="001D79B3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enswirklichkeiten von Jugendlichen und anderen M</w:t>
            </w:r>
            <w:r w:rsidR="00A83E7A"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en</w:t>
            </w:r>
            <w:r w:rsidR="001D79B3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schen</w:t>
            </w:r>
            <w:r w:rsidR="00A83E7A"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erweitern die </w:t>
            </w:r>
            <w:r w:rsidR="007A2E1C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Schülerinnen und Schüler</w:t>
            </w:r>
            <w:r w:rsidR="00A83E7A"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ihre interkulturelle kommunikative Kompetenz.</w:t>
            </w:r>
            <w:r w:rsidR="00871821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Die Schwerpunkte liegen</w:t>
            </w:r>
            <w:r w:rsidR="00446D41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B326EA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im Bereich d</w:t>
            </w:r>
            <w:r w:rsidR="00D652E3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er funktionalen kommunikativen Teilk</w:t>
            </w:r>
            <w:r w:rsidR="00B326EA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ompetenz</w:t>
            </w:r>
            <w:r w:rsidR="001D79B3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en </w:t>
            </w:r>
            <w:r w:rsidR="001D79B3" w:rsidRPr="001D79B3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Hör-/Hörsehverstehen</w:t>
            </w:r>
            <w:r w:rsidR="001D79B3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und Sprachmittlu</w:t>
            </w:r>
            <w:r w:rsidR="00871821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n</w:t>
            </w:r>
            <w:r w:rsidR="001D79B3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g</w:t>
            </w:r>
            <w:r w:rsidR="00B326EA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sow</w:t>
            </w:r>
            <w:r w:rsidR="001D79B3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ie des Wortschatzes</w:t>
            </w:r>
            <w:r w:rsidR="00C7102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und der Grammatik</w:t>
            </w:r>
            <w:r w:rsidR="00871821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.</w:t>
            </w:r>
            <w:r w:rsidR="001D79B3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</w:p>
          <w:p w14:paraId="07429A42" w14:textId="3A89E8E8" w:rsidR="00A038D2" w:rsidRPr="00C71022" w:rsidRDefault="00F15234" w:rsidP="00D1784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de-DE"/>
              </w:rPr>
            </w:pPr>
            <w:r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Die </w:t>
            </w:r>
            <w:r w:rsidR="007A2E1C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Schülerinnen und Schüler</w:t>
            </w:r>
            <w:r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C7102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erwerb</w:t>
            </w:r>
            <w:r w:rsidR="00460E50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en </w:t>
            </w:r>
            <w:r w:rsidR="002C709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in diesem Zusammenhang </w:t>
            </w:r>
            <w:r w:rsidR="00C7102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ein</w:t>
            </w:r>
            <w:r w:rsidR="001D79B3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en </w:t>
            </w:r>
            <w:r w:rsidR="00C7102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grundlegenden </w:t>
            </w:r>
            <w:r w:rsidR="001D79B3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Themen</w:t>
            </w:r>
            <w:r w:rsidR="00460E50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wortschatz</w:t>
            </w:r>
            <w:r w:rsidR="002C709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, </w:t>
            </w:r>
            <w:r w:rsidR="00C7102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Strategien zur Nutzung</w:t>
            </w:r>
            <w:r w:rsidR="002C709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zweisprachiger Wörterbücher</w:t>
            </w:r>
            <w:r w:rsidR="00460E50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sowie</w:t>
            </w:r>
            <w:r w:rsidR="00B326EA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D17847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– </w:t>
            </w:r>
            <w:r w:rsidR="00C7102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am Beispiel </w:t>
            </w:r>
            <w:r w:rsidR="0060511B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funktional und </w:t>
            </w:r>
            <w:r w:rsidR="00C7102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semantisch differenter Futur- und Konjunktivformen </w:t>
            </w:r>
            <w:r w:rsidR="00D17847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– die</w:t>
            </w:r>
            <w:r w:rsidR="00D17847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Fähi</w:t>
            </w:r>
            <w:r w:rsidR="00D17847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gkeit, </w:t>
            </w:r>
            <w:r w:rsidR="00C7102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zwischen</w:t>
            </w:r>
            <w:r w:rsidR="00460E50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1D79B3" w:rsidRPr="001D79B3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Tempus</w:t>
            </w:r>
            <w:r w:rsidR="00C7102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, Modus </w:t>
            </w:r>
            <w:r w:rsidR="001D79B3" w:rsidRPr="001D79B3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und Aspekt der Verbaktion</w:t>
            </w:r>
            <w:r w:rsidR="00D17847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zu unterscheiden und ihre Kenntnis der Verbgrammatik in sprachlich korrekte Kommunikation umzusetzen</w:t>
            </w:r>
            <w:r w:rsidR="00871821" w:rsidRPr="001D79B3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.</w:t>
            </w:r>
            <w:r w:rsidR="00D17847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F15234" w:rsidRPr="009F31E1" w14:paraId="7F0BEE63" w14:textId="77777777">
        <w:tc>
          <w:tcPr>
            <w:tcW w:w="9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66710E" w14:textId="35A64C93" w:rsidR="00F15234" w:rsidRPr="00F15234" w:rsidRDefault="00F15234" w:rsidP="006A788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de-DE"/>
              </w:rPr>
            </w:pPr>
            <w:proofErr w:type="spellStart"/>
            <w:r w:rsidRPr="00F15234">
              <w:rPr>
                <w:rFonts w:ascii="Arial Narrow" w:eastAsia="Times New Roman" w:hAnsi="Arial Narrow"/>
                <w:b/>
                <w:szCs w:val="20"/>
                <w:lang w:val="en-US" w:eastAsia="de-DE"/>
              </w:rPr>
              <w:t>Stundenkontingent</w:t>
            </w:r>
            <w:proofErr w:type="spellEnd"/>
            <w:r w:rsidRPr="00F15234">
              <w:rPr>
                <w:rFonts w:ascii="Arial Narrow" w:eastAsia="Times New Roman" w:hAnsi="Arial Narrow"/>
                <w:b/>
                <w:szCs w:val="20"/>
                <w:lang w:val="en-US" w:eastAsia="de-DE"/>
              </w:rPr>
              <w:t>:</w:t>
            </w:r>
            <w:r w:rsidRPr="00F15234">
              <w:rPr>
                <w:rFonts w:ascii="Arial Narrow" w:eastAsia="Times New Roman" w:hAnsi="Arial Narrow"/>
                <w:szCs w:val="20"/>
                <w:lang w:val="en-US" w:eastAsia="de-DE"/>
              </w:rPr>
              <w:t xml:space="preserve"> ca. 2</w:t>
            </w:r>
            <w:r w:rsidR="009474BA">
              <w:rPr>
                <w:rFonts w:ascii="Arial Narrow" w:eastAsia="Times New Roman" w:hAnsi="Arial Narrow"/>
                <w:szCs w:val="20"/>
                <w:lang w:val="en-US" w:eastAsia="de-DE"/>
              </w:rPr>
              <w:t>2</w:t>
            </w:r>
            <w:r w:rsidRPr="00F15234">
              <w:rPr>
                <w:rFonts w:ascii="Arial Narrow" w:eastAsia="Times New Roman" w:hAnsi="Arial Narrow"/>
                <w:szCs w:val="20"/>
                <w:lang w:val="en-US" w:eastAsia="de-DE"/>
              </w:rPr>
              <w:t xml:space="preserve"> </w:t>
            </w:r>
            <w:r w:rsidR="00254B28">
              <w:rPr>
                <w:rFonts w:ascii="Arial Narrow" w:eastAsia="Times New Roman" w:hAnsi="Arial Narrow"/>
                <w:szCs w:val="20"/>
                <w:lang w:val="en-US" w:eastAsia="de-DE"/>
              </w:rPr>
              <w:t>U-</w:t>
            </w:r>
            <w:r w:rsidRPr="00F15234">
              <w:rPr>
                <w:rFonts w:ascii="Arial Narrow" w:eastAsia="Times New Roman" w:hAnsi="Arial Narrow"/>
                <w:bCs/>
                <w:szCs w:val="20"/>
                <w:lang w:val="en-US" w:eastAsia="de-DE"/>
              </w:rPr>
              <w:t>Std.</w:t>
            </w:r>
          </w:p>
        </w:tc>
      </w:tr>
      <w:tr w:rsidR="00F15234" w:rsidRPr="009F31E1" w14:paraId="38A8AC8B" w14:textId="77777777">
        <w:tc>
          <w:tcPr>
            <w:tcW w:w="9778" w:type="dxa"/>
            <w:shd w:val="clear" w:color="auto" w:fill="D9D9D9"/>
          </w:tcPr>
          <w:p w14:paraId="07C55709" w14:textId="77777777" w:rsidR="00F15234" w:rsidRPr="00DE34F5" w:rsidRDefault="00F15234" w:rsidP="00F1523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Interkulturelle kommunikative Kompetenz</w:t>
            </w:r>
          </w:p>
        </w:tc>
      </w:tr>
      <w:tr w:rsidR="00F15234" w:rsidRPr="009F31E1" w14:paraId="2518F240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120B3CE2" w14:textId="77777777" w:rsidR="0033481F" w:rsidRDefault="0033481F" w:rsidP="00A83E7A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  <w:t xml:space="preserve">Soziokulturelles </w:t>
            </w:r>
            <w:r w:rsidR="00F15234"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Orientierungswissen:</w:t>
            </w:r>
          </w:p>
          <w:p w14:paraId="14B862DC" w14:textId="70F5A8E2" w:rsidR="0033481F" w:rsidRPr="0033481F" w:rsidRDefault="0033481F" w:rsidP="0033481F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</w:pPr>
            <w:r w:rsidRPr="0033481F">
              <w:rPr>
                <w:rFonts w:ascii="Arial Narrow" w:eastAsia="Times New Roman" w:hAnsi="Arial Narrow" w:cs="Arial"/>
                <w:bCs/>
                <w:sz w:val="20"/>
                <w:u w:val="single"/>
                <w:lang w:eastAsia="x-none"/>
              </w:rPr>
              <w:t>Einblicke in die Lebenswirklichkeit von Jugendlichen in Griechenland im Vergleich zur eigenen Lebenswelt:</w:t>
            </w:r>
            <w:r w:rsidRPr="0033481F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Alltagsleben, Familie, Freundschaft/Partnerschaft, Freizeitgestaltung, Umgang mit Vielfalt, Konsumverhalten</w:t>
            </w:r>
            <w:r w:rsidR="0060511B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, </w:t>
            </w:r>
            <w:r w:rsidR="0060511B" w:rsidRPr="0060511B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auch unter Berücksichtigung des Umweltschutzes</w:t>
            </w:r>
            <w:r w:rsidR="0060511B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; </w:t>
            </w:r>
            <w:r w:rsidR="0060511B" w:rsidRPr="0060511B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Bedeutung digitaler Medien im Alltag, reflektierter, verantwortungsvoller und selbstregulierter Umgang mit Medien, Möglichkeiten und Grenzen der Mediennutzung </w:t>
            </w:r>
            <w:r w:rsidR="0060511B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</w:p>
          <w:p w14:paraId="737A6B6F" w14:textId="7D339D15" w:rsidR="0060511B" w:rsidRPr="0060511B" w:rsidRDefault="0033481F" w:rsidP="0060511B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</w:pPr>
            <w:r w:rsidRPr="003348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 xml:space="preserve">Interkulturelle </w:t>
            </w:r>
            <w:r w:rsidR="00376E31" w:rsidRPr="00376E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>Einstellungen und Bewusstheit:</w:t>
            </w:r>
            <w:r w:rsidR="00376E31"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 xml:space="preserve"> </w:t>
            </w:r>
            <w:r w:rsidR="0060511B"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>gewonnene</w:t>
            </w:r>
            <w:r w:rsidR="0060511B" w:rsidRPr="0060511B"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 xml:space="preserve"> kulturspezifischen Einblicke in die </w:t>
            </w:r>
            <w:proofErr w:type="spellStart"/>
            <w:r w:rsidR="0060511B" w:rsidRPr="0060511B"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>griechischsprachige</w:t>
            </w:r>
            <w:proofErr w:type="spellEnd"/>
            <w:r w:rsidR="0060511B" w:rsidRPr="0060511B"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 xml:space="preserve"> Lebenswelt mit der eigenen Lebenswirklichkeit vergleichen, Gemeinsamkeiten entdecken, Stereotype und Unterschiede hinterfragen, einen Perspektivwechsel vollziehen und ein differenzierteres interkul</w:t>
            </w:r>
            <w:r w:rsidR="0060511B"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>turelles Verständnis entwickeln</w:t>
            </w:r>
          </w:p>
          <w:p w14:paraId="3E06C74F" w14:textId="61BD7BD9" w:rsidR="00376E31" w:rsidRPr="00DE34F5" w:rsidRDefault="0033481F" w:rsidP="0060511B">
            <w:pPr>
              <w:spacing w:before="20" w:after="20" w:line="240" w:lineRule="auto"/>
              <w:ind w:right="85"/>
              <w:rPr>
                <w:rFonts w:ascii="Arial Narrow" w:hAnsi="Arial Narrow"/>
                <w:sz w:val="20"/>
              </w:rPr>
            </w:pPr>
            <w:r w:rsidRPr="0033481F">
              <w:rPr>
                <w:rFonts w:ascii="Arial Narrow" w:hAnsi="Arial Narrow"/>
                <w:b/>
                <w:sz w:val="20"/>
              </w:rPr>
              <w:t>Interkulturelle</w:t>
            </w:r>
            <w:r>
              <w:rPr>
                <w:rFonts w:ascii="Arial Narrow" w:hAnsi="Arial Narrow"/>
                <w:b/>
                <w:sz w:val="20"/>
              </w:rPr>
              <w:t>s</w:t>
            </w:r>
            <w:r w:rsidRPr="0033481F">
              <w:rPr>
                <w:rFonts w:ascii="Arial Narrow" w:hAnsi="Arial Narrow"/>
                <w:b/>
                <w:sz w:val="20"/>
              </w:rPr>
              <w:t xml:space="preserve"> </w:t>
            </w:r>
            <w:r w:rsidR="00376E31" w:rsidRPr="00376E31">
              <w:rPr>
                <w:rFonts w:ascii="Arial Narrow" w:hAnsi="Arial Narrow"/>
                <w:b/>
                <w:sz w:val="20"/>
              </w:rPr>
              <w:t>Verstehen und Handeln:</w:t>
            </w:r>
            <w:r w:rsidR="00376E31">
              <w:rPr>
                <w:rFonts w:ascii="Arial Narrow" w:hAnsi="Arial Narrow"/>
                <w:sz w:val="20"/>
              </w:rPr>
              <w:t xml:space="preserve"> </w:t>
            </w:r>
            <w:r w:rsidR="0060511B" w:rsidRPr="0060511B">
              <w:rPr>
                <w:rFonts w:ascii="Arial Narrow" w:hAnsi="Arial Narrow"/>
                <w:sz w:val="20"/>
              </w:rPr>
              <w:t xml:space="preserve">in zielsprachigen Begegnungssituationen kulturspezifischen Konventionen und Besonderheiten respektvoll, tolerant und geschlechtersensibel begegnen, </w:t>
            </w:r>
            <w:r w:rsidR="00F8107C">
              <w:rPr>
                <w:rFonts w:ascii="Arial Narrow" w:hAnsi="Arial Narrow"/>
                <w:sz w:val="20"/>
              </w:rPr>
              <w:t>hierzu Stellung beziehen und das eigene</w:t>
            </w:r>
            <w:r w:rsidR="0060511B" w:rsidRPr="0060511B">
              <w:rPr>
                <w:rFonts w:ascii="Arial Narrow" w:hAnsi="Arial Narrow"/>
                <w:sz w:val="20"/>
              </w:rPr>
              <w:t xml:space="preserve"> Handeln in der Regel angemessen darauf einstellen</w:t>
            </w:r>
          </w:p>
        </w:tc>
      </w:tr>
      <w:tr w:rsidR="00F15234" w:rsidRPr="009F31E1" w14:paraId="5C01A3C8" w14:textId="77777777">
        <w:tc>
          <w:tcPr>
            <w:tcW w:w="9778" w:type="dxa"/>
            <w:shd w:val="clear" w:color="auto" w:fill="D9D9D9"/>
          </w:tcPr>
          <w:p w14:paraId="49123ED7" w14:textId="77777777" w:rsidR="00F15234" w:rsidRPr="00DE34F5" w:rsidRDefault="00F15234" w:rsidP="00F15234">
            <w:pPr>
              <w:spacing w:before="40" w:after="40" w:line="240" w:lineRule="auto"/>
              <w:jc w:val="center"/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Funktionale kommunikative Kompetenz</w:t>
            </w:r>
          </w:p>
        </w:tc>
      </w:tr>
      <w:tr w:rsidR="00F15234" w:rsidRPr="009F31E1" w14:paraId="2048A592" w14:textId="77777777">
        <w:tc>
          <w:tcPr>
            <w:tcW w:w="9778" w:type="dxa"/>
            <w:shd w:val="clear" w:color="auto" w:fill="auto"/>
          </w:tcPr>
          <w:p w14:paraId="45F51C27" w14:textId="0FF5D703" w:rsidR="00853253" w:rsidRPr="00853253" w:rsidRDefault="0089388D" w:rsidP="00853253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</w:pPr>
            <w:r w:rsidRPr="0089388D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Hör-/Hörsehverstehen:</w:t>
            </w:r>
            <w:r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in unmittelbar im unterrichtliche</w:t>
            </w:r>
            <w:r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n</w:t>
            </w:r>
            <w:r w:rsidRPr="0089388D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Kontext erlebter direkter Kommunikation die Sprechenden in der Regel in ihren Gesamtaussagen, Hauptaussagen und Einzelinformationen verstehen; auditiv und audiovisuell vermittelten Tex</w:t>
            </w:r>
            <w:r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>ten die Ge</w:t>
            </w:r>
            <w:r w:rsidRPr="0089388D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>samtaussage, Hau</w:t>
            </w:r>
            <w:r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>ptaussagen und Einzelinformatio</w:t>
            </w:r>
            <w:r w:rsidRPr="0089388D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>nen entnehmen</w:t>
            </w:r>
          </w:p>
          <w:p w14:paraId="7E79C35C" w14:textId="411480B3" w:rsidR="00853253" w:rsidRPr="0089388D" w:rsidRDefault="0089388D" w:rsidP="00320148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</w:pPr>
            <w:r w:rsidRPr="0089388D"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  <w:t xml:space="preserve">Sprachmittlung: </w:t>
            </w:r>
            <w:r w:rsidRPr="0089388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die relevanten Aussagen situatio</w:t>
            </w:r>
            <w:r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ns</w:t>
            </w:r>
            <w:r w:rsidRPr="0089388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angemessen in die jeweilige Zielsprache mündlich und schriftlich sinngemäß übertragen</w:t>
            </w:r>
          </w:p>
        </w:tc>
      </w:tr>
      <w:tr w:rsidR="00F15234" w:rsidRPr="00D652E3" w14:paraId="5103A7E1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1E04A357" w14:textId="77777777" w:rsidR="00F15234" w:rsidRPr="00DE34F5" w:rsidRDefault="00F15234" w:rsidP="00F15234">
            <w:pPr>
              <w:spacing w:before="20" w:after="20" w:line="240" w:lineRule="auto"/>
              <w:ind w:right="85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4"/>
                <w:lang w:eastAsia="x-none"/>
              </w:rPr>
              <w:t>Verfügen über sprachliche Mittel</w:t>
            </w:r>
          </w:p>
          <w:p w14:paraId="32FAF728" w14:textId="331776B3" w:rsidR="002F19A5" w:rsidRDefault="00F15234" w:rsidP="002F19A5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</w:pPr>
            <w:r w:rsidRPr="001208CD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Wortschatz:</w:t>
            </w:r>
            <w:r w:rsidRPr="001208CD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</w:t>
            </w:r>
            <w:r w:rsidR="00F13E58" w:rsidRPr="00F13E5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Themen</w:t>
            </w:r>
            <w:r w:rsidR="00F13E5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wortschatz</w:t>
            </w:r>
            <w:r w:rsidR="00F13E58" w:rsidRPr="00F13E5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r w:rsidR="008E20B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„</w:t>
            </w:r>
            <w:r w:rsidR="0089388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Freizeitaktivitäten</w:t>
            </w:r>
            <w:r w:rsidR="008E20B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“</w:t>
            </w:r>
            <w:r w:rsidR="0089388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/</w:t>
            </w:r>
            <w:r w:rsidR="008E20B5" w:rsidRPr="008E20B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„</w:t>
            </w:r>
            <w:r w:rsidR="0089388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Konsum</w:t>
            </w:r>
            <w:r w:rsidR="008E20B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“</w:t>
            </w:r>
          </w:p>
          <w:p w14:paraId="60E875FF" w14:textId="51EA1638" w:rsidR="00F15234" w:rsidRPr="002E0F55" w:rsidRDefault="00F15234" w:rsidP="002E0F55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</w:pPr>
            <w:r w:rsidRPr="001208CD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Grammatik:</w:t>
            </w:r>
            <w:r w:rsidRPr="00F13E58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</w:t>
            </w:r>
            <w:r w:rsidR="0089388D" w:rsidRPr="0089388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periphrastische und nicht periphrastische Komparative und Superlative (auch </w:t>
            </w:r>
            <w:proofErr w:type="spellStart"/>
            <w:r w:rsidR="0089388D" w:rsidRPr="0089388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frequente</w:t>
            </w:r>
            <w:proofErr w:type="spellEnd"/>
            <w:r w:rsidR="0089388D" w:rsidRPr="0089388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unregelmäßige Formen wie </w:t>
            </w:r>
            <w:r w:rsidR="0089388D" w:rsidRPr="0089388D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>κα</w:t>
            </w:r>
            <w:proofErr w:type="spellStart"/>
            <w:r w:rsidR="0089388D" w:rsidRPr="0089388D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>λύτερος</w:t>
            </w:r>
            <w:proofErr w:type="spellEnd"/>
            <w:r w:rsidR="0089388D" w:rsidRPr="0089388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/ </w:t>
            </w:r>
            <w:proofErr w:type="spellStart"/>
            <w:r w:rsidR="0089388D" w:rsidRPr="0089388D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>άριστος</w:t>
            </w:r>
            <w:proofErr w:type="spellEnd"/>
            <w:r w:rsidR="0089388D" w:rsidRPr="0089388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, </w:t>
            </w:r>
            <w:proofErr w:type="spellStart"/>
            <w:r w:rsidR="0089388D" w:rsidRPr="0089388D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>λιγότεροι</w:t>
            </w:r>
            <w:proofErr w:type="spellEnd"/>
            <w:r w:rsidR="0089388D" w:rsidRPr="0089388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/ </w:t>
            </w:r>
            <w:proofErr w:type="spellStart"/>
            <w:r w:rsidR="0089388D" w:rsidRPr="0089388D">
              <w:rPr>
                <w:rFonts w:ascii="Arial Narrow" w:eastAsia="Times New Roman" w:hAnsi="Arial Narrow" w:cs="Arial"/>
                <w:bCs/>
                <w:i/>
                <w:iCs/>
                <w:sz w:val="20"/>
                <w:lang w:eastAsia="x-none"/>
              </w:rPr>
              <w:t>ελάχιστοι</w:t>
            </w:r>
            <w:proofErr w:type="spellEnd"/>
            <w:r w:rsidR="0089388D" w:rsidRPr="0089388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)</w:t>
            </w:r>
            <w:r w:rsidR="008E20B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,</w:t>
            </w:r>
            <w:r w:rsidR="0089388D" w:rsidRPr="0089388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Tempora und Modi unter beiden Aspekten der Verbaktion</w:t>
            </w:r>
            <w:r w:rsidR="002E0F55" w:rsidRPr="002E0F5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: </w:t>
            </w:r>
            <w:r w:rsidR="0089388D" w:rsidRPr="002E0F55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εξακολουθητικός</w:t>
            </w:r>
            <w:r w:rsidR="0089388D" w:rsidRPr="002E0F55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89388D" w:rsidRPr="002E0F55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και</w:t>
            </w:r>
            <w:r w:rsidR="0089388D" w:rsidRPr="002E0F55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89388D" w:rsidRPr="002E0F55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συνοπτικός</w:t>
            </w:r>
            <w:r w:rsidR="0089388D" w:rsidRPr="002E0F55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89388D" w:rsidRPr="002E0F55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μέλλοντας</w:t>
            </w:r>
            <w:r w:rsidR="0089388D" w:rsidRPr="002E0F55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, </w:t>
            </w:r>
            <w:r w:rsidR="0089388D" w:rsidRPr="002E0F55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υποτακτική</w:t>
            </w:r>
            <w:r w:rsidR="0089388D" w:rsidRPr="002E0F55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2E0F55" w:rsidRPr="002E0F55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διαρκής</w:t>
            </w:r>
            <w:r w:rsidR="002E0F55" w:rsidRPr="002E0F55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(</w:t>
            </w:r>
            <w:r w:rsidR="0089388D" w:rsidRPr="002E0F55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ενεστώτα</w:t>
            </w:r>
            <w:r w:rsidR="002E0F55" w:rsidRPr="002E0F55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>)</w:t>
            </w:r>
            <w:r w:rsidR="0089388D" w:rsidRPr="002E0F55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89388D" w:rsidRPr="002E0F55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και</w:t>
            </w:r>
            <w:r w:rsidR="0089388D" w:rsidRPr="002E0F55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2E0F55" w:rsidRPr="002E0F55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απλή</w:t>
            </w:r>
            <w:r w:rsidR="002E0F55" w:rsidRPr="002E0F55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(</w:t>
            </w:r>
            <w:r w:rsidR="0089388D" w:rsidRPr="002E0F55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αορίστου</w:t>
            </w:r>
            <w:r w:rsidR="0089388D" w:rsidRPr="002E0F55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>)</w:t>
            </w:r>
            <w:r w:rsidR="002E0F55" w:rsidRPr="002E0F5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r w:rsidR="002E0F5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und entsprechende „Auslöser“ (</w:t>
            </w:r>
            <w:r w:rsidR="002E0F55" w:rsidRPr="002E0F55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Μου</w:t>
            </w:r>
            <w:r w:rsidR="002E0F55" w:rsidRPr="002E0F55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2E0F55" w:rsidRPr="002E0F55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αρέσει</w:t>
            </w:r>
            <w:r w:rsidR="002E0F55" w:rsidRPr="002E0F5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r w:rsidR="002E0F55" w:rsidRPr="002E0F55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να</w:t>
            </w:r>
            <w:r w:rsidR="002E0F55" w:rsidRPr="002E0F55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2E0F55" w:rsidRPr="002E0F55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ψωνίζω</w:t>
            </w:r>
            <w:r w:rsidR="002E0F55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>…</w:t>
            </w:r>
            <w:r w:rsidR="002E0F55" w:rsidRPr="002E0F55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≠ </w:t>
            </w:r>
            <w:r w:rsidR="002E0F55" w:rsidRPr="002E0F55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Θέλω</w:t>
            </w:r>
            <w:r w:rsidR="002E0F55" w:rsidRPr="002E0F55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>/</w:t>
            </w:r>
            <w:r w:rsidR="002E0F55" w:rsidRPr="002E0F55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Πάω</w:t>
            </w:r>
            <w:r w:rsidR="002E0F55" w:rsidRPr="002E0F55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2E0F55" w:rsidRPr="002E0F55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να</w:t>
            </w:r>
            <w:r w:rsidR="002E0F55" w:rsidRPr="002E0F55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</w:t>
            </w:r>
            <w:r w:rsidR="002E0F55" w:rsidRPr="002E0F55">
              <w:rPr>
                <w:rFonts w:ascii="Arial Narrow" w:eastAsia="Times New Roman" w:hAnsi="Arial Narrow" w:cs="Arial"/>
                <w:bCs/>
                <w:i/>
                <w:sz w:val="20"/>
                <w:lang w:val="el-GR" w:eastAsia="x-none"/>
              </w:rPr>
              <w:t>ψωνίσω</w:t>
            </w:r>
            <w:r w:rsidR="002E0F55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>…</w:t>
            </w:r>
            <w:r w:rsidR="002E0F55" w:rsidRPr="002E0F5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r w:rsidR="002E0F5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etc.)</w:t>
            </w:r>
          </w:p>
        </w:tc>
      </w:tr>
      <w:tr w:rsidR="00F15234" w:rsidRPr="009F31E1" w14:paraId="4C4C84F9" w14:textId="77777777">
        <w:tc>
          <w:tcPr>
            <w:tcW w:w="9778" w:type="dxa"/>
            <w:shd w:val="clear" w:color="auto" w:fill="D9D9D9"/>
          </w:tcPr>
          <w:p w14:paraId="144C4054" w14:textId="77777777" w:rsidR="00F15234" w:rsidRPr="00DE34F5" w:rsidRDefault="00F15234" w:rsidP="00F15234">
            <w:pPr>
              <w:spacing w:before="40" w:after="40" w:line="240" w:lineRule="auto"/>
              <w:jc w:val="center"/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Text- und Medienkompetenz</w:t>
            </w:r>
          </w:p>
        </w:tc>
      </w:tr>
      <w:tr w:rsidR="00F15234" w:rsidRPr="00F1336A" w14:paraId="66DB5FF9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0F54CD6C" w14:textId="6F8E6E6A" w:rsidR="0089388D" w:rsidRPr="00584039" w:rsidRDefault="00F15234" w:rsidP="0089388D">
            <w:pPr>
              <w:spacing w:before="20" w:after="20" w:line="240" w:lineRule="auto"/>
              <w:rPr>
                <w:rFonts w:ascii="Arial Narrow" w:hAnsi="Arial Narrow"/>
                <w:sz w:val="20"/>
              </w:rPr>
            </w:pPr>
            <w:r w:rsidRPr="00DE34F5">
              <w:rPr>
                <w:rFonts w:ascii="Arial Narrow" w:hAnsi="Arial Narrow"/>
                <w:b/>
                <w:sz w:val="20"/>
              </w:rPr>
              <w:t>Ausgangstexte</w:t>
            </w:r>
            <w:r w:rsidRPr="0089388D">
              <w:rPr>
                <w:rFonts w:ascii="Arial Narrow" w:hAnsi="Arial Narrow"/>
                <w:b/>
                <w:sz w:val="20"/>
              </w:rPr>
              <w:t xml:space="preserve">: </w:t>
            </w:r>
            <w:r w:rsidR="00584039" w:rsidRPr="00584039">
              <w:rPr>
                <w:rFonts w:ascii="Arial Narrow" w:hAnsi="Arial Narrow"/>
                <w:bCs/>
                <w:sz w:val="20"/>
              </w:rPr>
              <w:t>Werbe- und Informationstexte, u.a. aus dem öffentlichen Raum</w:t>
            </w:r>
            <w:r w:rsidR="00584039" w:rsidRPr="00584039">
              <w:rPr>
                <w:rFonts w:ascii="Arial Narrow" w:hAnsi="Arial Narrow"/>
                <w:sz w:val="20"/>
              </w:rPr>
              <w:t>, Zeitungsartikel und Tagesnachrichten, Interviews, narrative Texte</w:t>
            </w:r>
          </w:p>
          <w:p w14:paraId="4DE1B4A1" w14:textId="2D75754D" w:rsidR="003E3A12" w:rsidRPr="00F1336A" w:rsidRDefault="00F15234" w:rsidP="0089388D">
            <w:pPr>
              <w:spacing w:before="20" w:after="20" w:line="240" w:lineRule="auto"/>
              <w:rPr>
                <w:rFonts w:ascii="Arial Narrow" w:hAnsi="Arial Narrow"/>
                <w:sz w:val="20"/>
              </w:rPr>
            </w:pPr>
            <w:r w:rsidRPr="00DE34F5">
              <w:rPr>
                <w:rFonts w:ascii="Arial Narrow" w:hAnsi="Arial Narrow"/>
                <w:b/>
                <w:sz w:val="20"/>
              </w:rPr>
              <w:t>Zieltexte</w:t>
            </w:r>
            <w:r w:rsidRPr="0089388D">
              <w:rPr>
                <w:rFonts w:ascii="Arial Narrow" w:hAnsi="Arial Narrow"/>
                <w:b/>
                <w:sz w:val="20"/>
              </w:rPr>
              <w:t xml:space="preserve">: </w:t>
            </w:r>
            <w:r w:rsidR="00584039" w:rsidRPr="00584039">
              <w:rPr>
                <w:rFonts w:ascii="Arial Narrow" w:hAnsi="Arial Narrow"/>
                <w:sz w:val="20"/>
              </w:rPr>
              <w:t xml:space="preserve">Bildbeschreibungen, </w:t>
            </w:r>
            <w:r w:rsidR="00584039">
              <w:rPr>
                <w:rFonts w:ascii="Arial Narrow" w:hAnsi="Arial Narrow"/>
                <w:sz w:val="20"/>
              </w:rPr>
              <w:t xml:space="preserve">Dialoge, </w:t>
            </w:r>
            <w:r w:rsidR="00584039" w:rsidRPr="00584039">
              <w:rPr>
                <w:rFonts w:ascii="Arial Narrow" w:hAnsi="Arial Narrow"/>
                <w:sz w:val="20"/>
              </w:rPr>
              <w:t>kurze Vorträge, Präsentationen und Berichte</w:t>
            </w:r>
          </w:p>
        </w:tc>
      </w:tr>
      <w:tr w:rsidR="00F15234" w:rsidRPr="009F31E1" w14:paraId="0B6EBA6D" w14:textId="77777777">
        <w:tc>
          <w:tcPr>
            <w:tcW w:w="9778" w:type="dxa"/>
            <w:shd w:val="clear" w:color="auto" w:fill="D9D9D9"/>
          </w:tcPr>
          <w:p w14:paraId="08FDCB59" w14:textId="77777777" w:rsidR="00F15234" w:rsidRPr="00DE34F5" w:rsidRDefault="00F15234" w:rsidP="00F15234">
            <w:pPr>
              <w:spacing w:before="40" w:after="40" w:line="240" w:lineRule="auto"/>
              <w:jc w:val="center"/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Sprachlernkompetenz</w:t>
            </w:r>
          </w:p>
        </w:tc>
      </w:tr>
      <w:tr w:rsidR="00F15234" w:rsidRPr="009F31E1" w14:paraId="5999B8B6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42B29F65" w14:textId="19C43C23" w:rsidR="005C62FC" w:rsidRPr="0017513F" w:rsidRDefault="0017513F" w:rsidP="0017513F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7513F">
              <w:rPr>
                <w:rFonts w:ascii="Arial Narrow" w:hAnsi="Arial Narrow"/>
                <w:sz w:val="20"/>
                <w:szCs w:val="20"/>
              </w:rPr>
              <w:t>bedarfsgerecht und kritisch reflektierend unterschiedliche Arbeits- und Hilfsmittel in Printversion und als digitales Werkzeug zur Texterschließung, Texterstellung und Selbstkorrektur nutzen,</w:t>
            </w:r>
            <w:r w:rsidR="008E20B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7513F">
              <w:rPr>
                <w:rFonts w:ascii="Arial Narrow" w:hAnsi="Arial Narrow"/>
                <w:sz w:val="20"/>
                <w:szCs w:val="20"/>
              </w:rPr>
              <w:t>Lernstrategien zur systematischen Aneignung, Erweiterung und selbstständigen Verwendung des eigenen Wortschatzes sowie grammatischer und syntaktischer Strukturen</w:t>
            </w:r>
            <w:r w:rsidR="008E20B5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7513F">
              <w:rPr>
                <w:rFonts w:ascii="Arial Narrow" w:hAnsi="Arial Narrow"/>
                <w:sz w:val="20"/>
                <w:szCs w:val="20"/>
              </w:rPr>
              <w:t>Kompensationsstrategien bei sprachlichen Schwierigkeiten</w:t>
            </w:r>
            <w:r w:rsidR="008E20B5">
              <w:rPr>
                <w:rFonts w:ascii="Arial Narrow" w:hAnsi="Arial Narrow"/>
                <w:sz w:val="20"/>
                <w:szCs w:val="20"/>
              </w:rPr>
              <w:t>,</w:t>
            </w:r>
            <w:r w:rsidRPr="0017513F">
              <w:rPr>
                <w:rFonts w:ascii="Arial Narrow" w:hAnsi="Arial Narrow"/>
                <w:sz w:val="20"/>
                <w:szCs w:val="20"/>
              </w:rPr>
              <w:t xml:space="preserve"> Hör-/Hörseh- und Lesestrategien</w:t>
            </w:r>
          </w:p>
        </w:tc>
      </w:tr>
    </w:tbl>
    <w:p w14:paraId="795001D8" w14:textId="77777777" w:rsidR="00F15234" w:rsidRPr="00FD3B5C" w:rsidRDefault="00F15234" w:rsidP="00F15234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5234" w:rsidRPr="009F31E1" w14:paraId="44C7B6F4" w14:textId="77777777">
        <w:tc>
          <w:tcPr>
            <w:tcW w:w="9778" w:type="dxa"/>
            <w:shd w:val="clear" w:color="auto" w:fill="auto"/>
          </w:tcPr>
          <w:p w14:paraId="0D63B29C" w14:textId="77777777" w:rsidR="00F15234" w:rsidRPr="00DE34F5" w:rsidRDefault="00F15234" w:rsidP="00F15234">
            <w:pPr>
              <w:spacing w:before="40" w:after="40" w:line="240" w:lineRule="auto"/>
              <w:rPr>
                <w:sz w:val="24"/>
                <w:szCs w:val="24"/>
              </w:rPr>
            </w:pPr>
            <w:r w:rsidRPr="00DE34F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Weitere </w:t>
            </w:r>
            <w:r w:rsidRPr="00DE34F5">
              <w:rPr>
                <w:rFonts w:ascii="Arial" w:hAnsi="Arial" w:cs="Arial"/>
                <w:b/>
                <w:bCs/>
                <w:sz w:val="24"/>
                <w:szCs w:val="24"/>
              </w:rPr>
              <w:t>Hinweise, Vereinbarungen und Absprachen</w:t>
            </w:r>
          </w:p>
        </w:tc>
      </w:tr>
      <w:tr w:rsidR="00F15234" w:rsidRPr="009F31E1" w14:paraId="1057124D" w14:textId="77777777">
        <w:tc>
          <w:tcPr>
            <w:tcW w:w="9778" w:type="dxa"/>
            <w:shd w:val="clear" w:color="auto" w:fill="auto"/>
          </w:tcPr>
          <w:p w14:paraId="3CC295E4" w14:textId="3DA34D7F" w:rsidR="003E3A12" w:rsidRPr="0089388D" w:rsidRDefault="003E3A12" w:rsidP="0089388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Unterricht</w:t>
            </w:r>
            <w:r w:rsidRPr="003E3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liche Umsetzung</w:t>
            </w:r>
            <w:r w:rsidRPr="003E3A12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: systematische Wortschatzarbeit zu den Themenfeldern</w:t>
            </w:r>
            <w:r w:rsidR="00A30A7C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 „</w:t>
            </w:r>
            <w:r w:rsidR="0089388D" w:rsidRPr="0089388D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Freizeitaktivitäten</w:t>
            </w:r>
            <w:r w:rsidR="00A30A7C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“ und „</w:t>
            </w:r>
            <w:r w:rsidR="0089388D" w:rsidRPr="0089388D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Konsum“ (</w:t>
            </w:r>
            <w:r w:rsidR="0089388D" w:rsidRPr="0089388D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val="el-GR" w:eastAsia="x-none"/>
              </w:rPr>
              <w:t>τρόφιμα</w:t>
            </w:r>
            <w:r w:rsidR="0089388D" w:rsidRPr="0089388D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x-none"/>
              </w:rPr>
              <w:t>,</w:t>
            </w:r>
            <w:r w:rsidR="0089388D" w:rsidRPr="0089388D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 </w:t>
            </w:r>
            <w:r w:rsidR="0089388D" w:rsidRPr="0089388D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val="el-GR" w:eastAsia="x-none"/>
              </w:rPr>
              <w:t>ρούχα</w:t>
            </w:r>
            <w:r w:rsidR="0089388D" w:rsidRPr="0089388D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x-none"/>
              </w:rPr>
              <w:t xml:space="preserve">, </w:t>
            </w:r>
            <w:r w:rsidR="0089388D" w:rsidRPr="0089388D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val="el-GR" w:eastAsia="x-none"/>
              </w:rPr>
              <w:t>παπούτσια</w:t>
            </w:r>
            <w:r w:rsidR="0089388D" w:rsidRPr="0089388D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x-none"/>
              </w:rPr>
              <w:t xml:space="preserve">, </w:t>
            </w:r>
            <w:r w:rsidR="0089388D" w:rsidRPr="0089388D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val="el-GR" w:eastAsia="x-none"/>
              </w:rPr>
              <w:t>αξεσουάρ</w:t>
            </w:r>
            <w:r w:rsidR="0089388D" w:rsidRPr="0089388D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eastAsia="x-none"/>
              </w:rPr>
              <w:t xml:space="preserve">, </w:t>
            </w:r>
            <w:r w:rsidR="0089388D" w:rsidRPr="0089388D">
              <w:rPr>
                <w:rFonts w:ascii="Arial Narrow" w:eastAsia="Times New Roman" w:hAnsi="Arial Narrow" w:cs="Arial"/>
                <w:bCs/>
                <w:i/>
                <w:sz w:val="20"/>
                <w:szCs w:val="20"/>
                <w:lang w:val="el-GR" w:eastAsia="x-none"/>
              </w:rPr>
              <w:t>παιχνίδια</w:t>
            </w:r>
            <w:r w:rsidR="0089388D" w:rsidRPr="0089388D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)</w:t>
            </w:r>
          </w:p>
          <w:p w14:paraId="7E30E2E9" w14:textId="0354C8C3" w:rsidR="0060511B" w:rsidRPr="0060511B" w:rsidRDefault="003E3A12" w:rsidP="0060511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Mög</w:t>
            </w:r>
            <w:r w:rsidRPr="003E3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liche Umsetzung im Unterricht</w:t>
            </w:r>
            <w:r w:rsidRPr="003E3A12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: </w:t>
            </w:r>
            <w:r w:rsidR="00584039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Einkaufs- und Verkaufsgespräche verstehen, variieren und simulieren, evtl. einen griechischen Wochenmarkt organisieren; Einführung in die Sprachmittlung auf der Grundlage deutschsprachiger Texte zur Freizeitgestaltung Jugendlicher in Deutschland  </w:t>
            </w:r>
          </w:p>
          <w:p w14:paraId="7F558EE0" w14:textId="5453CB6E" w:rsidR="00B326EA" w:rsidRPr="003E3A12" w:rsidRDefault="00F15234" w:rsidP="0060511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3E3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Medienbildung</w:t>
            </w:r>
            <w:r w:rsidRPr="003E3A12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: </w:t>
            </w:r>
            <w:r w:rsidR="0060511B" w:rsidRPr="0060511B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Gestaltungsmittel von Medienprodukten kennen, reflektiert anwenden sowie hinsichtlich ihrer Qualität, Wirkung und Aussageabsicht beurteilen (MKR 4.2)</w:t>
            </w:r>
            <w:r w:rsidR="0060511B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 </w:t>
            </w:r>
          </w:p>
        </w:tc>
      </w:tr>
    </w:tbl>
    <w:p w14:paraId="39E65D5E" w14:textId="77777777" w:rsidR="00584039" w:rsidRDefault="00584039" w:rsidP="00010BEE"/>
    <w:sectPr w:rsidR="00584039" w:rsidSect="00BC0230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1CA"/>
    <w:multiLevelType w:val="hybridMultilevel"/>
    <w:tmpl w:val="86F84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92653"/>
    <w:multiLevelType w:val="hybridMultilevel"/>
    <w:tmpl w:val="3EC44800"/>
    <w:lvl w:ilvl="0" w:tplc="8BE8D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076513"/>
    <w:multiLevelType w:val="hybridMultilevel"/>
    <w:tmpl w:val="81981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34"/>
    <w:rsid w:val="00010BEE"/>
    <w:rsid w:val="00027730"/>
    <w:rsid w:val="000330B3"/>
    <w:rsid w:val="00045FE9"/>
    <w:rsid w:val="0006291C"/>
    <w:rsid w:val="00077DA5"/>
    <w:rsid w:val="000A0D1A"/>
    <w:rsid w:val="000B4A34"/>
    <w:rsid w:val="000D79BF"/>
    <w:rsid w:val="001208CD"/>
    <w:rsid w:val="00161098"/>
    <w:rsid w:val="0017513F"/>
    <w:rsid w:val="001767EB"/>
    <w:rsid w:val="001B5D0B"/>
    <w:rsid w:val="001D79B3"/>
    <w:rsid w:val="001F2D7F"/>
    <w:rsid w:val="00203FC5"/>
    <w:rsid w:val="00206177"/>
    <w:rsid w:val="00254B28"/>
    <w:rsid w:val="00263B6F"/>
    <w:rsid w:val="002771EC"/>
    <w:rsid w:val="0028170C"/>
    <w:rsid w:val="002B0755"/>
    <w:rsid w:val="002B699A"/>
    <w:rsid w:val="002C1097"/>
    <w:rsid w:val="002C7092"/>
    <w:rsid w:val="002E0F55"/>
    <w:rsid w:val="002F19A5"/>
    <w:rsid w:val="00314EE7"/>
    <w:rsid w:val="00320148"/>
    <w:rsid w:val="00334791"/>
    <w:rsid w:val="0033481F"/>
    <w:rsid w:val="00347AB0"/>
    <w:rsid w:val="00376E31"/>
    <w:rsid w:val="00383442"/>
    <w:rsid w:val="003950AA"/>
    <w:rsid w:val="003B621C"/>
    <w:rsid w:val="003D3C94"/>
    <w:rsid w:val="003E3A12"/>
    <w:rsid w:val="00414208"/>
    <w:rsid w:val="0043261A"/>
    <w:rsid w:val="00446D41"/>
    <w:rsid w:val="00460E50"/>
    <w:rsid w:val="00476C70"/>
    <w:rsid w:val="004974EE"/>
    <w:rsid w:val="004C1275"/>
    <w:rsid w:val="004C56BC"/>
    <w:rsid w:val="005158ED"/>
    <w:rsid w:val="00540ED7"/>
    <w:rsid w:val="00584039"/>
    <w:rsid w:val="00586566"/>
    <w:rsid w:val="005C449E"/>
    <w:rsid w:val="005C62FC"/>
    <w:rsid w:val="005C7B74"/>
    <w:rsid w:val="0060511B"/>
    <w:rsid w:val="00611A3A"/>
    <w:rsid w:val="00640231"/>
    <w:rsid w:val="0064278D"/>
    <w:rsid w:val="00677A89"/>
    <w:rsid w:val="006A0C11"/>
    <w:rsid w:val="006A788A"/>
    <w:rsid w:val="006E457F"/>
    <w:rsid w:val="007264C1"/>
    <w:rsid w:val="007356D1"/>
    <w:rsid w:val="007460BD"/>
    <w:rsid w:val="007511FC"/>
    <w:rsid w:val="00751395"/>
    <w:rsid w:val="00767312"/>
    <w:rsid w:val="007A2E1C"/>
    <w:rsid w:val="00803632"/>
    <w:rsid w:val="008338A3"/>
    <w:rsid w:val="00853253"/>
    <w:rsid w:val="00871821"/>
    <w:rsid w:val="00892584"/>
    <w:rsid w:val="0089388D"/>
    <w:rsid w:val="008E20B5"/>
    <w:rsid w:val="0092123B"/>
    <w:rsid w:val="00941D2A"/>
    <w:rsid w:val="009474BA"/>
    <w:rsid w:val="0096697B"/>
    <w:rsid w:val="009F31E1"/>
    <w:rsid w:val="009F4A65"/>
    <w:rsid w:val="00A038D2"/>
    <w:rsid w:val="00A05D22"/>
    <w:rsid w:val="00A1494C"/>
    <w:rsid w:val="00A30A7C"/>
    <w:rsid w:val="00A83E7A"/>
    <w:rsid w:val="00A9561C"/>
    <w:rsid w:val="00AC3D6C"/>
    <w:rsid w:val="00AD7E6F"/>
    <w:rsid w:val="00B326EA"/>
    <w:rsid w:val="00BA62D6"/>
    <w:rsid w:val="00BC0230"/>
    <w:rsid w:val="00C31B0B"/>
    <w:rsid w:val="00C71022"/>
    <w:rsid w:val="00CE6DA1"/>
    <w:rsid w:val="00CF140F"/>
    <w:rsid w:val="00D17847"/>
    <w:rsid w:val="00D44C64"/>
    <w:rsid w:val="00D652E3"/>
    <w:rsid w:val="00D87867"/>
    <w:rsid w:val="00DE34F5"/>
    <w:rsid w:val="00E378D6"/>
    <w:rsid w:val="00EA3045"/>
    <w:rsid w:val="00EA54D2"/>
    <w:rsid w:val="00EA6E2B"/>
    <w:rsid w:val="00EE083C"/>
    <w:rsid w:val="00F1278D"/>
    <w:rsid w:val="00F1336A"/>
    <w:rsid w:val="00F13E58"/>
    <w:rsid w:val="00F15234"/>
    <w:rsid w:val="00F414F4"/>
    <w:rsid w:val="00F43817"/>
    <w:rsid w:val="00F805BB"/>
    <w:rsid w:val="00F8107C"/>
    <w:rsid w:val="00FD3B5C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9375"/>
  <w15:chartTrackingRefBased/>
  <w15:docId w15:val="{72E14AF2-1D85-42AD-ADC7-0F1940C8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F152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5234"/>
    <w:pPr>
      <w:spacing w:after="160" w:line="259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15234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1523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5234"/>
    <w:pPr>
      <w:spacing w:after="200" w:line="240" w:lineRule="auto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15234"/>
    <w:rPr>
      <w:rFonts w:ascii="Calibri" w:eastAsia="Calibri" w:hAnsi="Calibri"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206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93A089DA</Template>
  <TotalTime>0</TotalTime>
  <Pages>1</Pages>
  <Words>621</Words>
  <Characters>3915</Characters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2020-06-05T07:01:00Z</dcterms:created>
  <dcterms:modified xsi:type="dcterms:W3CDTF">2020-06-09T11:37:00Z</dcterms:modified>
</cp:coreProperties>
</file>