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963"/>
        <w:gridCol w:w="3148"/>
        <w:gridCol w:w="3934"/>
      </w:tblGrid>
      <w:tr w:rsidR="003E5AAA" w:rsidRPr="0075229B" w:rsidTr="006C5C24">
        <w:tc>
          <w:tcPr>
            <w:tcW w:w="13994" w:type="dxa"/>
            <w:gridSpan w:val="4"/>
          </w:tcPr>
          <w:p w:rsidR="003E5AAA" w:rsidRPr="0075229B" w:rsidRDefault="003E5AAA" w:rsidP="002B6729">
            <w:pPr>
              <w:spacing w:before="120" w:after="120"/>
              <w:mirrorIndents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5229B">
              <w:rPr>
                <w:rFonts w:ascii="Arial" w:hAnsi="Arial" w:cs="Arial"/>
                <w:b/>
                <w:sz w:val="32"/>
                <w:szCs w:val="32"/>
              </w:rPr>
              <w:t xml:space="preserve">Jahrgangsstufe </w:t>
            </w:r>
            <w:r w:rsidR="006F5477"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Pr="0075229B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9C0576" w:rsidRPr="0075229B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75229B">
              <w:rPr>
                <w:rFonts w:ascii="Arial" w:hAnsi="Arial" w:cs="Arial"/>
                <w:b/>
                <w:sz w:val="32"/>
                <w:szCs w:val="32"/>
              </w:rPr>
              <w:t xml:space="preserve">UV </w:t>
            </w:r>
            <w:r w:rsidR="00ED6AD9">
              <w:rPr>
                <w:rFonts w:ascii="Arial" w:hAnsi="Arial" w:cs="Arial"/>
                <w:b/>
                <w:sz w:val="32"/>
                <w:szCs w:val="32"/>
              </w:rPr>
              <w:t>10.2</w:t>
            </w:r>
            <w:r w:rsidR="00DF2A17" w:rsidRPr="0075229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5229B">
              <w:rPr>
                <w:rFonts w:ascii="Arial" w:hAnsi="Arial" w:cs="Arial"/>
                <w:b/>
                <w:sz w:val="32"/>
                <w:szCs w:val="32"/>
              </w:rPr>
              <w:t>„</w:t>
            </w:r>
            <w:r w:rsidR="000826E2">
              <w:rPr>
                <w:rFonts w:ascii="Arial" w:hAnsi="Arial" w:cs="Arial"/>
                <w:b/>
                <w:sz w:val="32"/>
                <w:szCs w:val="32"/>
              </w:rPr>
              <w:t>Hormonelle Regulation</w:t>
            </w:r>
            <w:r w:rsidR="00EA38BD">
              <w:rPr>
                <w:rFonts w:ascii="Arial" w:hAnsi="Arial" w:cs="Arial"/>
                <w:b/>
                <w:sz w:val="32"/>
                <w:szCs w:val="32"/>
              </w:rPr>
              <w:t xml:space="preserve"> der Blutzuckerkonzentration</w:t>
            </w:r>
            <w:r w:rsidR="00DB294C" w:rsidRPr="0075229B">
              <w:rPr>
                <w:rFonts w:ascii="Arial" w:hAnsi="Arial" w:cs="Arial"/>
                <w:b/>
                <w:sz w:val="32"/>
                <w:szCs w:val="32"/>
              </w:rPr>
              <w:t>“</w:t>
            </w:r>
          </w:p>
          <w:p w:rsidR="002B6729" w:rsidRPr="0075229B" w:rsidRDefault="00E13BB7" w:rsidP="002B6729">
            <w:pPr>
              <w:spacing w:before="120" w:after="120"/>
              <w:mirrorIndent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29B">
              <w:rPr>
                <w:rFonts w:ascii="Arial" w:hAnsi="Arial" w:cs="Arial"/>
                <w:sz w:val="24"/>
                <w:szCs w:val="24"/>
              </w:rPr>
              <w:t>(</w:t>
            </w:r>
            <w:r w:rsidR="002B6729" w:rsidRPr="0075229B"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C15EC5" w:rsidRPr="000826E2">
              <w:rPr>
                <w:rFonts w:ascii="Arial" w:hAnsi="Arial" w:cs="Arial"/>
                <w:sz w:val="24"/>
                <w:szCs w:val="24"/>
              </w:rPr>
              <w:t>8</w:t>
            </w:r>
            <w:r w:rsidR="002B6729" w:rsidRPr="000826E2">
              <w:rPr>
                <w:rFonts w:ascii="Arial" w:hAnsi="Arial" w:cs="Arial"/>
                <w:sz w:val="24"/>
                <w:szCs w:val="24"/>
              </w:rPr>
              <w:t xml:space="preserve"> Ustd</w:t>
            </w:r>
            <w:r w:rsidR="002B6729" w:rsidRPr="0075229B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="002B6729" w:rsidRPr="0075229B">
              <w:rPr>
                <w:rFonts w:ascii="Arial" w:hAnsi="Arial" w:cs="Arial"/>
                <w:color w:val="0070C0"/>
                <w:sz w:val="24"/>
                <w:szCs w:val="24"/>
              </w:rPr>
              <w:t>in blau: fakultative Aspekt</w:t>
            </w:r>
            <w:r w:rsidRPr="0075229B">
              <w:rPr>
                <w:rFonts w:ascii="Arial" w:hAnsi="Arial" w:cs="Arial"/>
                <w:color w:val="0070C0"/>
                <w:sz w:val="24"/>
                <w:szCs w:val="24"/>
              </w:rPr>
              <w:t>e bei höherem Stundenkontingent</w:t>
            </w:r>
            <w:r w:rsidRPr="007522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5AAA" w:rsidRPr="0075229B" w:rsidTr="006C5C24">
        <w:tc>
          <w:tcPr>
            <w:tcW w:w="13994" w:type="dxa"/>
            <w:gridSpan w:val="4"/>
            <w:shd w:val="clear" w:color="auto" w:fill="D9D9D9" w:themeFill="background1" w:themeFillShade="D9"/>
          </w:tcPr>
          <w:p w:rsidR="003E5AAA" w:rsidRPr="0075229B" w:rsidRDefault="003E5AAA" w:rsidP="0045743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5229B">
              <w:rPr>
                <w:rFonts w:ascii="Arial" w:hAnsi="Arial" w:cs="Arial"/>
                <w:b/>
              </w:rPr>
              <w:t>Inhaltsfeldbeschreibung</w:t>
            </w:r>
            <w:r w:rsidR="00367E9E" w:rsidRPr="0075229B">
              <w:rPr>
                <w:rFonts w:ascii="Arial" w:hAnsi="Arial" w:cs="Arial"/>
                <w:b/>
              </w:rPr>
              <w:t xml:space="preserve"> (Auszug)</w:t>
            </w:r>
          </w:p>
        </w:tc>
      </w:tr>
      <w:tr w:rsidR="003E5AAA" w:rsidRPr="0075229B" w:rsidTr="006C5C24">
        <w:tc>
          <w:tcPr>
            <w:tcW w:w="13994" w:type="dxa"/>
            <w:gridSpan w:val="4"/>
          </w:tcPr>
          <w:p w:rsidR="008D1AAA" w:rsidRPr="0075229B" w:rsidRDefault="008D1AAA" w:rsidP="00350CF4">
            <w:pPr>
              <w:spacing w:before="60"/>
              <w:rPr>
                <w:rFonts w:ascii="Arial" w:hAnsi="Arial" w:cs="Arial"/>
              </w:rPr>
            </w:pPr>
            <w:r w:rsidRPr="0075229B">
              <w:rPr>
                <w:rFonts w:ascii="Arial" w:hAnsi="Arial" w:cs="Arial"/>
              </w:rPr>
              <w:t xml:space="preserve">Fehlernährung, Bewegungsmangel, Stress und Suchtverhalten sind Auslöser für viele Zivilisationserkrankungen. Fundierte Kenntnisse zur Funktionsweise des Organismus ermöglichen Entscheidungen für eine gesunde Lebensweise und fördern die Bereitschaft, Maßnahmen zur Vermeidung von […] Zivilisationskrankheiten im persönlichen Bereich zu ergreifen. </w:t>
            </w:r>
          </w:p>
          <w:p w:rsidR="008D1AAA" w:rsidRPr="0075229B" w:rsidRDefault="008D1AAA" w:rsidP="008D1AAA">
            <w:pPr>
              <w:rPr>
                <w:rFonts w:ascii="Arial" w:hAnsi="Arial" w:cs="Arial"/>
              </w:rPr>
            </w:pPr>
            <w:r w:rsidRPr="0075229B">
              <w:rPr>
                <w:rFonts w:ascii="Arial" w:hAnsi="Arial" w:cs="Arial"/>
              </w:rPr>
              <w:t xml:space="preserve">Unter Berücksichtigung eigener Körpererfahrungen wird die Leistungsfähigkeit des menschlichen Körpers auf anatomischer und physiologischer Ebene betrachtet. </w:t>
            </w:r>
            <w:r w:rsidR="00442F70">
              <w:rPr>
                <w:rFonts w:ascii="Arial" w:hAnsi="Arial" w:cs="Arial"/>
              </w:rPr>
              <w:t xml:space="preserve">[…] </w:t>
            </w:r>
            <w:r w:rsidRPr="0075229B">
              <w:rPr>
                <w:rFonts w:ascii="Arial" w:hAnsi="Arial" w:cs="Arial"/>
              </w:rPr>
              <w:t xml:space="preserve">Physiologische Prozesse werden durch das </w:t>
            </w:r>
            <w:r w:rsidR="00442F70">
              <w:rPr>
                <w:rFonts w:ascii="Arial" w:hAnsi="Arial" w:cs="Arial"/>
              </w:rPr>
              <w:t xml:space="preserve">[…] </w:t>
            </w:r>
            <w:r w:rsidRPr="0075229B">
              <w:rPr>
                <w:rFonts w:ascii="Arial" w:hAnsi="Arial" w:cs="Arial"/>
              </w:rPr>
              <w:t>Hormonsystem gesteuert und reguliert.</w:t>
            </w:r>
          </w:p>
          <w:p w:rsidR="008D1AAA" w:rsidRPr="0075229B" w:rsidRDefault="008D1AAA" w:rsidP="00350CF4">
            <w:pPr>
              <w:spacing w:after="60"/>
              <w:rPr>
                <w:rFonts w:ascii="Arial" w:hAnsi="Arial" w:cs="Arial"/>
              </w:rPr>
            </w:pPr>
            <w:r w:rsidRPr="0075229B">
              <w:rPr>
                <w:rFonts w:ascii="Arial" w:hAnsi="Arial" w:cs="Arial"/>
              </w:rPr>
              <w:t>Die Informationsverarbeitung wird als wesentliches Kennzeichen biologischer Systeme thematisiert. Als Beispiel für die Wirkung von Hormonen auf spezifische Zielzellen dient die hormonelle Regulation des Blutzuckerspiegels.</w:t>
            </w:r>
          </w:p>
        </w:tc>
      </w:tr>
      <w:tr w:rsidR="00367E9E" w:rsidRPr="0075229B" w:rsidTr="00862CCF">
        <w:tc>
          <w:tcPr>
            <w:tcW w:w="6912" w:type="dxa"/>
            <w:gridSpan w:val="2"/>
            <w:shd w:val="clear" w:color="auto" w:fill="D9D9D9" w:themeFill="background1" w:themeFillShade="D9"/>
          </w:tcPr>
          <w:p w:rsidR="00367E9E" w:rsidRPr="0075229B" w:rsidRDefault="00367E9E" w:rsidP="004574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5229B">
              <w:rPr>
                <w:rFonts w:ascii="Arial" w:hAnsi="Arial" w:cs="Arial"/>
                <w:b/>
              </w:rPr>
              <w:t>Erweiterung des Kompetenzbereichs Kommunikation</w:t>
            </w:r>
          </w:p>
        </w:tc>
        <w:tc>
          <w:tcPr>
            <w:tcW w:w="7082" w:type="dxa"/>
            <w:gridSpan w:val="2"/>
            <w:shd w:val="clear" w:color="auto" w:fill="D9D9D9" w:themeFill="background1" w:themeFillShade="D9"/>
          </w:tcPr>
          <w:p w:rsidR="00367E9E" w:rsidRPr="0075229B" w:rsidRDefault="00367E9E" w:rsidP="004574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5229B">
              <w:rPr>
                <w:rFonts w:ascii="Arial" w:hAnsi="Arial" w:cs="Arial"/>
                <w:b/>
              </w:rPr>
              <w:t>Experimente / Untersuchungen / Arbeit mit Modellen</w:t>
            </w:r>
          </w:p>
        </w:tc>
      </w:tr>
      <w:tr w:rsidR="007711F5" w:rsidRPr="0075229B" w:rsidTr="004E4C8B">
        <w:tc>
          <w:tcPr>
            <w:tcW w:w="6912" w:type="dxa"/>
            <w:gridSpan w:val="2"/>
          </w:tcPr>
          <w:p w:rsidR="008D1AAA" w:rsidRPr="0075229B" w:rsidRDefault="008D1AAA" w:rsidP="008D1AAA">
            <w:pPr>
              <w:spacing w:before="120" w:after="120"/>
              <w:rPr>
                <w:rFonts w:ascii="Arial" w:hAnsi="Arial" w:cs="Arial"/>
              </w:rPr>
            </w:pPr>
            <w:r w:rsidRPr="00EA5865">
              <w:rPr>
                <w:rFonts w:ascii="Arial" w:hAnsi="Arial" w:cs="Arial"/>
                <w:b/>
              </w:rPr>
              <w:t>K1 Dokumentation:</w:t>
            </w:r>
            <w:r w:rsidRPr="0075229B">
              <w:rPr>
                <w:rFonts w:ascii="Arial" w:hAnsi="Arial" w:cs="Arial"/>
              </w:rPr>
              <w:t xml:space="preserve"> </w:t>
            </w:r>
            <w:r w:rsidR="00862CCF">
              <w:rPr>
                <w:rFonts w:ascii="Arial" w:hAnsi="Arial" w:cs="Arial"/>
              </w:rPr>
              <w:br/>
              <w:t xml:space="preserve">Die Schülerinnen und Schüler können </w:t>
            </w:r>
            <w:r w:rsidRPr="0075229B">
              <w:rPr>
                <w:rFonts w:ascii="Arial" w:hAnsi="Arial" w:cs="Arial"/>
              </w:rPr>
              <w:t xml:space="preserve">Arbeitsprozesse und Ergebnisse in strukturierter Form mithilfe analoger </w:t>
            </w:r>
            <w:r w:rsidRPr="00C75EF7">
              <w:rPr>
                <w:rFonts w:ascii="Arial" w:hAnsi="Arial" w:cs="Arial"/>
                <w:color w:val="D9D9D9" w:themeColor="background1" w:themeShade="D9"/>
              </w:rPr>
              <w:t xml:space="preserve">und digitaler </w:t>
            </w:r>
            <w:r w:rsidRPr="0075229B">
              <w:rPr>
                <w:rFonts w:ascii="Arial" w:hAnsi="Arial" w:cs="Arial"/>
              </w:rPr>
              <w:t>Medien nachvollziehbar dokumentieren und dabei Bildungs- und Fachsprache sowie fachtypische Darstellungsformen verwenden.</w:t>
            </w:r>
          </w:p>
          <w:p w:rsidR="008D1AAA" w:rsidRPr="0075229B" w:rsidRDefault="008D1AAA" w:rsidP="008D1AAA">
            <w:pPr>
              <w:spacing w:before="120" w:after="120"/>
              <w:rPr>
                <w:rFonts w:ascii="Arial" w:hAnsi="Arial" w:cs="Arial"/>
              </w:rPr>
            </w:pPr>
            <w:r w:rsidRPr="00EA5865">
              <w:rPr>
                <w:rFonts w:ascii="Arial" w:hAnsi="Arial" w:cs="Arial"/>
                <w:b/>
              </w:rPr>
              <w:t>K3 Präsentation:</w:t>
            </w:r>
            <w:r w:rsidRPr="0075229B">
              <w:rPr>
                <w:rFonts w:ascii="Arial" w:hAnsi="Arial" w:cs="Arial"/>
              </w:rPr>
              <w:t xml:space="preserve"> </w:t>
            </w:r>
            <w:r w:rsidR="00862CCF">
              <w:rPr>
                <w:rFonts w:ascii="Arial" w:hAnsi="Arial" w:cs="Arial"/>
              </w:rPr>
              <w:br/>
              <w:t xml:space="preserve">Die Schülerinnen und Schüler können </w:t>
            </w:r>
            <w:r w:rsidRPr="0075229B">
              <w:rPr>
                <w:rFonts w:ascii="Arial" w:hAnsi="Arial" w:cs="Arial"/>
              </w:rPr>
              <w:t xml:space="preserve">biologische Sachverhalte, Überlegungen und Arbeitsergebnisse unter Verwendung der Bildungs- und Fachsprache sowie fachtypischer Sprachstrukturen und Darstellungsformen sachgerecht, adressatengerecht und situationsbezogen in Form von kurzen Vorträgen und schriftlichen Ausarbeitungen präsentieren </w:t>
            </w:r>
            <w:r w:rsidRPr="00C75EF7">
              <w:rPr>
                <w:rFonts w:ascii="Arial" w:hAnsi="Arial" w:cs="Arial"/>
                <w:color w:val="D9D9D9" w:themeColor="background1" w:themeShade="D9"/>
              </w:rPr>
              <w:t>und dafür digitale Medien reflektiert und sinnvoll verwenden</w:t>
            </w:r>
            <w:r w:rsidRPr="0075229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082" w:type="dxa"/>
            <w:gridSpan w:val="2"/>
            <w:vAlign w:val="center"/>
          </w:tcPr>
          <w:p w:rsidR="004B31B7" w:rsidRPr="00862CCF" w:rsidRDefault="007F298B" w:rsidP="00265AF8">
            <w:pPr>
              <w:pStyle w:val="Listenabsatz"/>
              <w:numPr>
                <w:ilvl w:val="0"/>
                <w:numId w:val="22"/>
              </w:numPr>
              <w:spacing w:before="60" w:after="60"/>
              <w:ind w:left="457"/>
              <w:jc w:val="left"/>
              <w:rPr>
                <w:rFonts w:cs="Arial"/>
              </w:rPr>
            </w:pPr>
            <w:r w:rsidRPr="00862CCF">
              <w:rPr>
                <w:rFonts w:cs="Arial"/>
              </w:rPr>
              <w:t>Modelldarstellungen zum Wirkmechanismus von Hormonen an ihrer Zielzelle nach dem Schlüssel-Schloss-Modell</w:t>
            </w:r>
          </w:p>
        </w:tc>
      </w:tr>
      <w:tr w:rsidR="00DE7271" w:rsidRPr="0075229B" w:rsidTr="006C5C24">
        <w:tc>
          <w:tcPr>
            <w:tcW w:w="13994" w:type="dxa"/>
            <w:gridSpan w:val="4"/>
            <w:shd w:val="clear" w:color="auto" w:fill="D9D9D9" w:themeFill="background1" w:themeFillShade="D9"/>
          </w:tcPr>
          <w:p w:rsidR="00DE7271" w:rsidRPr="0075229B" w:rsidRDefault="00315B46" w:rsidP="00EE61BC">
            <w:pPr>
              <w:spacing w:before="120" w:after="120"/>
              <w:ind w:left="720" w:hanging="360"/>
              <w:jc w:val="center"/>
              <w:rPr>
                <w:rFonts w:ascii="Arial" w:hAnsi="Arial" w:cs="Arial"/>
                <w:b/>
              </w:rPr>
            </w:pPr>
            <w:r w:rsidRPr="0075229B">
              <w:rPr>
                <w:rFonts w:ascii="Arial" w:hAnsi="Arial" w:cs="Arial"/>
                <w:b/>
              </w:rPr>
              <w:t>Beiträ</w:t>
            </w:r>
            <w:r w:rsidR="00DE7271" w:rsidRPr="0075229B">
              <w:rPr>
                <w:rFonts w:ascii="Arial" w:hAnsi="Arial" w:cs="Arial"/>
                <w:b/>
              </w:rPr>
              <w:t>ge zu den Basiskonzepten</w:t>
            </w:r>
          </w:p>
        </w:tc>
      </w:tr>
      <w:tr w:rsidR="002B6729" w:rsidRPr="0075229B" w:rsidTr="000B46A9">
        <w:tc>
          <w:tcPr>
            <w:tcW w:w="5949" w:type="dxa"/>
          </w:tcPr>
          <w:p w:rsidR="00A4385E" w:rsidRPr="0075229B" w:rsidRDefault="002B6729" w:rsidP="00E13BB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/>
              <w:mirrorIndents/>
              <w:rPr>
                <w:rFonts w:ascii="Arial" w:eastAsia="Times New Roman" w:hAnsi="Arial" w:cs="Arial"/>
                <w:lang w:eastAsia="de-DE"/>
              </w:rPr>
            </w:pPr>
            <w:r w:rsidRPr="0075229B">
              <w:rPr>
                <w:rFonts w:ascii="Arial" w:eastAsia="Times New Roman" w:hAnsi="Arial" w:cs="Arial"/>
                <w:b/>
                <w:lang w:eastAsia="de-DE"/>
              </w:rPr>
              <w:t>System:</w:t>
            </w:r>
            <w:r w:rsidR="00A4385E" w:rsidRPr="0075229B">
              <w:rPr>
                <w:rFonts w:ascii="Arial" w:eastAsia="Times New Roman" w:hAnsi="Arial" w:cs="Arial"/>
                <w:lang w:eastAsia="de-DE"/>
              </w:rPr>
              <w:br/>
              <w:t>Arbeitsteilung im Organismus</w:t>
            </w:r>
          </w:p>
          <w:p w:rsidR="002B6729" w:rsidRPr="0075229B" w:rsidRDefault="008D1AAA" w:rsidP="008D1AAA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/>
              <w:mirrorIndents/>
              <w:rPr>
                <w:rFonts w:ascii="Arial" w:eastAsia="Times New Roman" w:hAnsi="Arial" w:cs="Arial"/>
                <w:lang w:eastAsia="de-DE"/>
              </w:rPr>
            </w:pPr>
            <w:r w:rsidRPr="0075229B">
              <w:rPr>
                <w:rFonts w:ascii="Arial" w:hAnsi="Arial" w:cs="Arial"/>
              </w:rPr>
              <w:t>Zelle als basale strukturelle und funktionelle Einheit, Systemebenen Zelle-Gewebe-Organ-Organismus, Arbeitsteilung im Organismus, Stoff- und Energieumwandlung, Mechanismen der Regulation</w:t>
            </w:r>
          </w:p>
        </w:tc>
        <w:tc>
          <w:tcPr>
            <w:tcW w:w="4111" w:type="dxa"/>
            <w:gridSpan w:val="2"/>
          </w:tcPr>
          <w:p w:rsidR="002B6729" w:rsidRPr="0075229B" w:rsidRDefault="002B6729" w:rsidP="00C15EC5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</w:rPr>
            </w:pPr>
            <w:r w:rsidRPr="0075229B">
              <w:rPr>
                <w:rFonts w:ascii="Arial" w:eastAsia="Times New Roman" w:hAnsi="Arial" w:cs="Arial"/>
                <w:b/>
                <w:lang w:eastAsia="de-DE"/>
              </w:rPr>
              <w:t>Struktur und Funktion:</w:t>
            </w:r>
            <w:r w:rsidRPr="0075229B">
              <w:rPr>
                <w:rFonts w:ascii="Arial" w:eastAsia="Times New Roman" w:hAnsi="Arial" w:cs="Arial"/>
                <w:lang w:eastAsia="de-DE"/>
              </w:rPr>
              <w:br/>
            </w:r>
            <w:r w:rsidR="00C15EC5">
              <w:rPr>
                <w:rFonts w:ascii="Arial" w:hAnsi="Arial" w:cs="Arial"/>
              </w:rPr>
              <w:t>Schlüssel-Schloss-Modell</w:t>
            </w:r>
            <w:r w:rsidR="00B8280B">
              <w:rPr>
                <w:rFonts w:ascii="Arial" w:hAnsi="Arial" w:cs="Arial"/>
              </w:rPr>
              <w:t xml:space="preserve"> bei Hormonen</w:t>
            </w:r>
            <w:r w:rsidR="00B8280B">
              <w:rPr>
                <w:rFonts w:ascii="Arial" w:hAnsi="Arial" w:cs="Arial"/>
              </w:rPr>
              <w:br/>
            </w:r>
            <w:r w:rsidR="008D1AAA" w:rsidRPr="0075229B">
              <w:rPr>
                <w:rFonts w:ascii="Arial" w:hAnsi="Arial" w:cs="Arial"/>
              </w:rPr>
              <w:t>G</w:t>
            </w:r>
            <w:r w:rsidR="00D1303C">
              <w:rPr>
                <w:rFonts w:ascii="Arial" w:hAnsi="Arial" w:cs="Arial"/>
              </w:rPr>
              <w:t>egenspielerprinzip bei Hormonen</w:t>
            </w:r>
          </w:p>
        </w:tc>
        <w:tc>
          <w:tcPr>
            <w:tcW w:w="3934" w:type="dxa"/>
          </w:tcPr>
          <w:p w:rsidR="002B6729" w:rsidRPr="0075229B" w:rsidRDefault="002B6729" w:rsidP="00EE61BC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/>
              <w:mirrorIndents/>
              <w:rPr>
                <w:rFonts w:ascii="Arial" w:hAnsi="Arial" w:cs="Arial"/>
                <w:b/>
              </w:rPr>
            </w:pPr>
            <w:r w:rsidRPr="0075229B">
              <w:rPr>
                <w:rFonts w:ascii="Arial" w:hAnsi="Arial" w:cs="Arial"/>
                <w:b/>
              </w:rPr>
              <w:t>Entwicklung:</w:t>
            </w:r>
          </w:p>
        </w:tc>
      </w:tr>
    </w:tbl>
    <w:p w:rsidR="004D1206" w:rsidRPr="0075229B" w:rsidRDefault="004D1206" w:rsidP="00457437">
      <w:pPr>
        <w:spacing w:before="120" w:after="120" w:line="240" w:lineRule="auto"/>
        <w:rPr>
          <w:rFonts w:ascii="Arial" w:hAnsi="Arial" w:cs="Arial"/>
        </w:rPr>
      </w:pPr>
    </w:p>
    <w:p w:rsidR="00E13BB7" w:rsidRPr="0075229B" w:rsidRDefault="00E13BB7" w:rsidP="00457437">
      <w:pPr>
        <w:spacing w:before="120" w:after="120" w:line="240" w:lineRule="auto"/>
        <w:rPr>
          <w:rFonts w:ascii="Arial" w:hAnsi="Arial" w:cs="Arial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4425"/>
        <w:gridCol w:w="6039"/>
      </w:tblGrid>
      <w:tr w:rsidR="009C0576" w:rsidRPr="0075229B" w:rsidTr="00E13BB7">
        <w:trPr>
          <w:tblHeader/>
        </w:trPr>
        <w:tc>
          <w:tcPr>
            <w:tcW w:w="1278" w:type="pct"/>
            <w:shd w:val="clear" w:color="auto" w:fill="D9D9D9" w:themeFill="background1" w:themeFillShade="D9"/>
          </w:tcPr>
          <w:p w:rsidR="009C0576" w:rsidRPr="0075229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75229B">
              <w:rPr>
                <w:rFonts w:ascii="Arial" w:hAnsi="Arial" w:cs="Arial"/>
                <w:b/>
              </w:rPr>
              <w:t>Sequenzierung:</w:t>
            </w:r>
          </w:p>
          <w:p w:rsidR="009C0576" w:rsidRPr="0075229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75229B">
              <w:rPr>
                <w:rFonts w:ascii="Arial" w:hAnsi="Arial" w:cs="Arial"/>
                <w:b/>
                <w:i/>
              </w:rPr>
              <w:t>Fragestellungen</w:t>
            </w:r>
          </w:p>
          <w:p w:rsidR="009C0576" w:rsidRPr="0075229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</w:rPr>
            </w:pPr>
            <w:r w:rsidRPr="0075229B">
              <w:rPr>
                <w:rFonts w:ascii="Arial" w:hAnsi="Arial" w:cs="Arial"/>
              </w:rPr>
              <w:t>inhaltliche Aspekte</w:t>
            </w:r>
          </w:p>
        </w:tc>
        <w:tc>
          <w:tcPr>
            <w:tcW w:w="1574" w:type="pct"/>
            <w:shd w:val="clear" w:color="auto" w:fill="D9D9D9" w:themeFill="background1" w:themeFillShade="D9"/>
            <w:vAlign w:val="center"/>
          </w:tcPr>
          <w:p w:rsidR="009C0576" w:rsidRPr="0075229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</w:rPr>
            </w:pPr>
            <w:r w:rsidRPr="0075229B">
              <w:rPr>
                <w:rFonts w:ascii="Arial" w:hAnsi="Arial" w:cs="Arial"/>
                <w:b/>
              </w:rPr>
              <w:t>Konkretisierte Kompetenzerwartungen des Kernlehrplans</w:t>
            </w:r>
          </w:p>
          <w:p w:rsidR="009C0576" w:rsidRPr="0075229B" w:rsidRDefault="009C0576" w:rsidP="00457437">
            <w:pPr>
              <w:spacing w:before="120" w:after="120" w:line="240" w:lineRule="auto"/>
              <w:mirrorIndents/>
              <w:rPr>
                <w:rFonts w:ascii="Arial" w:hAnsi="Arial" w:cs="Arial"/>
                <w:b/>
                <w:i/>
              </w:rPr>
            </w:pPr>
            <w:r w:rsidRPr="0075229B">
              <w:rPr>
                <w:rFonts w:ascii="Arial" w:hAnsi="Arial" w:cs="Arial"/>
              </w:rPr>
              <w:t>Schülerinnen und Schüler können</w:t>
            </w:r>
            <w:r w:rsidR="00315B46" w:rsidRPr="0075229B">
              <w:rPr>
                <w:rFonts w:ascii="Arial" w:hAnsi="Arial" w:cs="Arial"/>
              </w:rPr>
              <w:t>…</w:t>
            </w:r>
          </w:p>
        </w:tc>
        <w:tc>
          <w:tcPr>
            <w:tcW w:w="2148" w:type="pct"/>
            <w:shd w:val="clear" w:color="auto" w:fill="D9D9D9" w:themeFill="background1" w:themeFillShade="D9"/>
            <w:vAlign w:val="center"/>
          </w:tcPr>
          <w:p w:rsidR="009C0576" w:rsidRPr="0075229B" w:rsidRDefault="009C0576" w:rsidP="00457437">
            <w:pPr>
              <w:spacing w:before="120" w:after="120" w:line="240" w:lineRule="auto"/>
              <w:mirrorIndents/>
              <w:rPr>
                <w:rFonts w:ascii="Arial" w:eastAsia="Droid Sans Fallback" w:hAnsi="Arial" w:cs="Arial"/>
                <w:b/>
              </w:rPr>
            </w:pPr>
            <w:r w:rsidRPr="0075229B">
              <w:rPr>
                <w:rFonts w:ascii="Arial" w:eastAsia="Droid Sans Fallback" w:hAnsi="Arial" w:cs="Arial"/>
                <w:b/>
              </w:rPr>
              <w:t xml:space="preserve">Didaktisch-methodische Anmerkungen und </w:t>
            </w:r>
            <w:r w:rsidRPr="0075229B">
              <w:rPr>
                <w:rFonts w:ascii="Arial" w:eastAsia="Droid Sans Fallback" w:hAnsi="Arial" w:cs="Arial"/>
                <w:b/>
              </w:rPr>
              <w:br/>
              <w:t>Empfehlungen</w:t>
            </w:r>
          </w:p>
          <w:p w:rsidR="002B6729" w:rsidRPr="0075229B" w:rsidRDefault="002B6729" w:rsidP="002B6729">
            <w:pPr>
              <w:spacing w:after="0" w:line="240" w:lineRule="auto"/>
              <w:mirrorIndents/>
              <w:rPr>
                <w:rFonts w:ascii="Arial" w:hAnsi="Arial" w:cs="Arial"/>
                <w:i/>
                <w:iCs/>
              </w:rPr>
            </w:pPr>
            <w:r w:rsidRPr="0075229B">
              <w:rPr>
                <w:rFonts w:ascii="Arial" w:hAnsi="Arial" w:cs="Arial"/>
                <w:i/>
                <w:iCs/>
              </w:rPr>
              <w:t xml:space="preserve">Kernaussagen </w:t>
            </w:r>
            <w:r w:rsidR="00E13BB7" w:rsidRPr="0075229B">
              <w:rPr>
                <w:rFonts w:ascii="Arial" w:hAnsi="Arial" w:cs="Arial"/>
                <w:i/>
                <w:iCs/>
              </w:rPr>
              <w:t xml:space="preserve">/Alltagsvorstellungen / </w:t>
            </w:r>
            <w:r w:rsidRPr="0075229B">
              <w:rPr>
                <w:rFonts w:ascii="Arial" w:hAnsi="Arial" w:cs="Arial"/>
                <w:color w:val="0070C0"/>
              </w:rPr>
              <w:t>fakultative Aspekte</w:t>
            </w:r>
          </w:p>
        </w:tc>
      </w:tr>
      <w:tr w:rsidR="00222810" w:rsidRPr="00F97890" w:rsidTr="00E13BB7">
        <w:trPr>
          <w:trHeight w:val="472"/>
        </w:trPr>
        <w:tc>
          <w:tcPr>
            <w:tcW w:w="1278" w:type="pct"/>
            <w:shd w:val="clear" w:color="auto" w:fill="auto"/>
          </w:tcPr>
          <w:p w:rsidR="00222810" w:rsidRPr="00F97890" w:rsidRDefault="00222810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i/>
              </w:rPr>
            </w:pPr>
            <w:r w:rsidRPr="007F298B">
              <w:rPr>
                <w:rFonts w:ascii="Arial" w:hAnsi="Arial" w:cs="Arial"/>
                <w:b/>
                <w:bCs/>
                <w:i/>
              </w:rPr>
              <w:t>W</w:t>
            </w:r>
            <w:r w:rsidR="00EC7CB3">
              <w:rPr>
                <w:rFonts w:ascii="Arial" w:hAnsi="Arial" w:cs="Arial"/>
                <w:b/>
                <w:bCs/>
                <w:i/>
              </w:rPr>
              <w:t>ozu</w:t>
            </w:r>
            <w:r w:rsidR="005B2684" w:rsidRPr="007F298B">
              <w:rPr>
                <w:rFonts w:ascii="Arial" w:hAnsi="Arial" w:cs="Arial"/>
                <w:b/>
                <w:bCs/>
                <w:i/>
              </w:rPr>
              <w:t xml:space="preserve"> haben wir eigentlich </w:t>
            </w:r>
            <w:r w:rsidR="007637A8">
              <w:rPr>
                <w:rFonts w:ascii="Arial" w:hAnsi="Arial" w:cs="Arial"/>
                <w:b/>
                <w:bCs/>
                <w:i/>
              </w:rPr>
              <w:t>„</w:t>
            </w:r>
            <w:r w:rsidR="005B2684" w:rsidRPr="007F298B">
              <w:rPr>
                <w:rFonts w:ascii="Arial" w:hAnsi="Arial" w:cs="Arial"/>
                <w:b/>
                <w:bCs/>
                <w:i/>
              </w:rPr>
              <w:t>Zucker</w:t>
            </w:r>
            <w:r w:rsidR="007637A8">
              <w:rPr>
                <w:rFonts w:ascii="Arial" w:hAnsi="Arial" w:cs="Arial"/>
                <w:b/>
                <w:bCs/>
                <w:i/>
              </w:rPr>
              <w:t>“</w:t>
            </w:r>
            <w:r w:rsidR="005B2684" w:rsidRPr="007F298B">
              <w:rPr>
                <w:rFonts w:ascii="Arial" w:hAnsi="Arial" w:cs="Arial"/>
                <w:b/>
                <w:bCs/>
                <w:i/>
              </w:rPr>
              <w:t xml:space="preserve"> im</w:t>
            </w:r>
            <w:r w:rsidRPr="007F298B">
              <w:rPr>
                <w:rFonts w:ascii="Arial" w:hAnsi="Arial" w:cs="Arial"/>
                <w:b/>
                <w:bCs/>
                <w:i/>
              </w:rPr>
              <w:t xml:space="preserve"> Blut?</w:t>
            </w:r>
          </w:p>
          <w:p w:rsidR="00E64C98" w:rsidRPr="00B8280B" w:rsidRDefault="00E64C98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eastAsia="Times New Roman" w:hAnsi="Arial" w:cs="Arial"/>
                <w:i/>
                <w:iCs/>
                <w:lang w:eastAsia="de-DE"/>
              </w:rPr>
            </w:pPr>
            <w:r w:rsidRPr="00F97890">
              <w:rPr>
                <w:rFonts w:ascii="Arial" w:hAnsi="Arial" w:cs="Arial"/>
              </w:rPr>
              <w:t xml:space="preserve">Aufgaben des </w:t>
            </w:r>
            <w:r w:rsidR="007637A8">
              <w:rPr>
                <w:rFonts w:ascii="Arial" w:hAnsi="Arial" w:cs="Arial"/>
              </w:rPr>
              <w:t>„</w:t>
            </w:r>
            <w:r w:rsidRPr="00F97890">
              <w:rPr>
                <w:rFonts w:ascii="Arial" w:hAnsi="Arial" w:cs="Arial"/>
              </w:rPr>
              <w:t>Zuckers</w:t>
            </w:r>
            <w:r w:rsidR="007637A8">
              <w:rPr>
                <w:rFonts w:ascii="Arial" w:hAnsi="Arial" w:cs="Arial"/>
              </w:rPr>
              <w:t>“</w:t>
            </w:r>
            <w:r w:rsidRPr="00F97890">
              <w:rPr>
                <w:rFonts w:ascii="Arial" w:hAnsi="Arial" w:cs="Arial"/>
              </w:rPr>
              <w:t xml:space="preserve"> im Blut</w:t>
            </w:r>
          </w:p>
          <w:p w:rsidR="00B8280B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hAnsi="Arial" w:cs="Arial"/>
              </w:rPr>
            </w:pPr>
          </w:p>
          <w:p w:rsidR="00B8280B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hAnsi="Arial" w:cs="Arial"/>
              </w:rPr>
            </w:pPr>
          </w:p>
          <w:p w:rsidR="00B8280B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hAnsi="Arial" w:cs="Arial"/>
              </w:rPr>
            </w:pPr>
          </w:p>
          <w:p w:rsidR="00B8280B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hAnsi="Arial" w:cs="Arial"/>
              </w:rPr>
            </w:pPr>
          </w:p>
          <w:p w:rsidR="00B8280B" w:rsidRPr="00E64C98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eastAsia="Times New Roman" w:hAnsi="Arial" w:cs="Arial"/>
                <w:i/>
                <w:iCs/>
                <w:lang w:eastAsia="de-DE"/>
              </w:rPr>
            </w:pPr>
          </w:p>
          <w:p w:rsidR="00222810" w:rsidRPr="00F97890" w:rsidRDefault="005F1FAF" w:rsidP="007D5BB3">
            <w:pPr>
              <w:spacing w:beforeLines="60" w:before="144" w:afterLines="60" w:after="144" w:line="240" w:lineRule="auto"/>
              <w:jc w:val="right"/>
              <w:rPr>
                <w:rStyle w:val="SchwerpunktHngendZchn"/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</w:rPr>
              <w:t>ca. 1</w:t>
            </w:r>
            <w:r w:rsidR="00B8280B">
              <w:rPr>
                <w:rFonts w:ascii="Arial" w:hAnsi="Arial" w:cs="Arial"/>
              </w:rPr>
              <w:t xml:space="preserve"> Ustd.</w:t>
            </w:r>
          </w:p>
        </w:tc>
        <w:tc>
          <w:tcPr>
            <w:tcW w:w="1574" w:type="pct"/>
            <w:shd w:val="clear" w:color="auto" w:fill="auto"/>
          </w:tcPr>
          <w:p w:rsidR="00222810" w:rsidRPr="00F97890" w:rsidRDefault="00D73F1A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  <w:r w:rsidRPr="00F97890">
              <w:rPr>
                <w:rFonts w:cs="Arial"/>
                <w:sz w:val="22"/>
              </w:rPr>
              <w:t>die Bedeutung der Glucose für den Energiehaushalt der Zelle erläutern (UF1, UF4)</w:t>
            </w:r>
            <w:r w:rsidR="00CD24E8">
              <w:rPr>
                <w:rFonts w:cs="Arial"/>
                <w:sz w:val="22"/>
              </w:rPr>
              <w:t>.</w:t>
            </w:r>
          </w:p>
        </w:tc>
        <w:tc>
          <w:tcPr>
            <w:tcW w:w="2148" w:type="pct"/>
            <w:shd w:val="clear" w:color="auto" w:fill="auto"/>
          </w:tcPr>
          <w:p w:rsidR="00222810" w:rsidRDefault="00222810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iCs/>
              </w:rPr>
            </w:pPr>
            <w:r w:rsidRPr="00F97890">
              <w:rPr>
                <w:rFonts w:ascii="Arial" w:hAnsi="Arial" w:cs="Arial"/>
                <w:iCs/>
              </w:rPr>
              <w:t xml:space="preserve">Einstieg mit einem </w:t>
            </w:r>
            <w:proofErr w:type="spellStart"/>
            <w:r w:rsidRPr="00F97890">
              <w:rPr>
                <w:rFonts w:ascii="Arial" w:hAnsi="Arial" w:cs="Arial"/>
                <w:iCs/>
              </w:rPr>
              <w:t>advance</w:t>
            </w:r>
            <w:proofErr w:type="spellEnd"/>
            <w:r w:rsidRPr="00F97890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F97890">
              <w:rPr>
                <w:rFonts w:ascii="Arial" w:hAnsi="Arial" w:cs="Arial"/>
                <w:iCs/>
              </w:rPr>
              <w:t>organizer</w:t>
            </w:r>
            <w:proofErr w:type="spellEnd"/>
            <w:r w:rsidR="00016BF6">
              <w:rPr>
                <w:rFonts w:ascii="Arial" w:hAnsi="Arial" w:cs="Arial"/>
                <w:iCs/>
              </w:rPr>
              <w:t xml:space="preserve"> zum aktuellen Unterrichtsvorhaben „Hormonelle Regulation der Blutzuckerkonzentration“</w:t>
            </w:r>
            <w:r w:rsidR="005F1FAF" w:rsidRPr="00F97890">
              <w:rPr>
                <w:rFonts w:ascii="Arial" w:hAnsi="Arial" w:cs="Arial"/>
              </w:rPr>
              <w:t xml:space="preserve"> </w:t>
            </w:r>
            <w:r w:rsidRPr="00F97890">
              <w:rPr>
                <w:rFonts w:ascii="Arial" w:hAnsi="Arial" w:cs="Arial"/>
              </w:rPr>
              <w:t>[1]</w:t>
            </w:r>
            <w:r w:rsidR="00EE29F2">
              <w:rPr>
                <w:rFonts w:ascii="Arial" w:hAnsi="Arial" w:cs="Arial"/>
              </w:rPr>
              <w:t xml:space="preserve"> </w:t>
            </w:r>
            <w:r w:rsidR="00B8280B">
              <w:rPr>
                <w:rFonts w:ascii="Arial" w:hAnsi="Arial" w:cs="Arial"/>
                <w:iCs/>
              </w:rPr>
              <w:sym w:font="Wingdings 3" w:char="F067"/>
            </w:r>
            <w:r w:rsidR="00EE29F2" w:rsidRPr="00EE29F2">
              <w:rPr>
                <w:rFonts w:ascii="Arial" w:hAnsi="Arial" w:cs="Arial"/>
                <w:iCs/>
              </w:rPr>
              <w:t xml:space="preserve"> </w:t>
            </w:r>
            <w:r w:rsidRPr="00EE29F2">
              <w:rPr>
                <w:rFonts w:ascii="Arial" w:hAnsi="Arial" w:cs="Arial"/>
                <w:iCs/>
              </w:rPr>
              <w:t>Sammlung von Vorwissen</w:t>
            </w:r>
            <w:r w:rsidR="00016BF6">
              <w:rPr>
                <w:rFonts w:ascii="Arial" w:hAnsi="Arial" w:cs="Arial"/>
                <w:iCs/>
              </w:rPr>
              <w:t xml:space="preserve">, </w:t>
            </w:r>
            <w:r w:rsidR="00E64C98" w:rsidRPr="00EE29F2">
              <w:rPr>
                <w:rFonts w:ascii="Arial" w:hAnsi="Arial" w:cs="Arial"/>
                <w:iCs/>
              </w:rPr>
              <w:t>Fragen etc., gemeinsame Planung der Unterrichtsreihe</w:t>
            </w:r>
          </w:p>
          <w:p w:rsidR="00C90CB4" w:rsidRDefault="002217A5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Fokus der ersten Stunde</w:t>
            </w:r>
            <w:r w:rsidR="00C90CB4">
              <w:rPr>
                <w:rFonts w:ascii="Arial" w:hAnsi="Arial" w:cs="Arial"/>
                <w:iCs/>
              </w:rPr>
              <w:t xml:space="preserve">: </w:t>
            </w:r>
          </w:p>
          <w:p w:rsidR="00C90CB4" w:rsidRPr="00C90CB4" w:rsidRDefault="00417C77" w:rsidP="007D5BB3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jc w:val="left"/>
              <w:rPr>
                <w:rFonts w:cs="Arial"/>
                <w:iCs/>
              </w:rPr>
            </w:pPr>
            <w:r w:rsidRPr="00C90CB4">
              <w:rPr>
                <w:rFonts w:cs="Arial"/>
                <w:iCs/>
              </w:rPr>
              <w:t>Frage nach der Aufgabe des Zuckers im Blut</w:t>
            </w:r>
          </w:p>
          <w:p w:rsidR="007637A8" w:rsidRPr="00A22C50" w:rsidRDefault="00EC60F6" w:rsidP="007D5BB3">
            <w:pPr>
              <w:pStyle w:val="Listenabsatz"/>
              <w:numPr>
                <w:ilvl w:val="0"/>
                <w:numId w:val="23"/>
              </w:numPr>
              <w:spacing w:beforeLines="60" w:before="144" w:afterLines="60" w:after="144" w:line="240" w:lineRule="auto"/>
              <w:jc w:val="left"/>
              <w:rPr>
                <w:rFonts w:cs="Arial"/>
                <w:iCs/>
              </w:rPr>
            </w:pPr>
            <w:r w:rsidRPr="00C90CB4">
              <w:rPr>
                <w:rFonts w:cs="Arial"/>
                <w:iCs/>
              </w:rPr>
              <w:t>Anknüpfung an Vorwissen aus der Jahrgangss</w:t>
            </w:r>
            <w:r w:rsidR="009E3B81" w:rsidRPr="00C90CB4">
              <w:rPr>
                <w:rFonts w:cs="Arial"/>
                <w:iCs/>
              </w:rPr>
              <w:t>t</w:t>
            </w:r>
            <w:r w:rsidRPr="00C90CB4">
              <w:rPr>
                <w:rFonts w:cs="Arial"/>
                <w:iCs/>
              </w:rPr>
              <w:t>ufe 6 (Ernährung und Verdauung) sowie aus der Jahrgangsstufe 7 (Fotosynthese und Zellatmung)</w:t>
            </w:r>
            <w:r w:rsidR="00A22C50">
              <w:rPr>
                <w:rFonts w:cs="Arial"/>
                <w:iCs/>
              </w:rPr>
              <w:t xml:space="preserve"> und dem Fachunterricht Chemie</w:t>
            </w:r>
          </w:p>
          <w:p w:rsidR="00E64C98" w:rsidRPr="00223BE8" w:rsidRDefault="00902011" w:rsidP="00E64C98">
            <w:pPr>
              <w:spacing w:before="60" w:after="60" w:line="240" w:lineRule="auto"/>
              <w:rPr>
                <w:rFonts w:ascii="Arial" w:hAnsi="Arial" w:cs="Arial"/>
                <w:color w:val="0070C0"/>
              </w:rPr>
            </w:pPr>
            <w:r w:rsidRPr="00223BE8">
              <w:rPr>
                <w:rFonts w:ascii="Arial" w:hAnsi="Arial" w:cs="Arial"/>
                <w:color w:val="0070C0"/>
              </w:rPr>
              <w:t>A</w:t>
            </w:r>
            <w:r w:rsidR="004E5C79" w:rsidRPr="00223BE8">
              <w:rPr>
                <w:rFonts w:ascii="Arial" w:hAnsi="Arial" w:cs="Arial"/>
                <w:color w:val="0070C0"/>
              </w:rPr>
              <w:t>usführliche</w:t>
            </w:r>
            <w:r w:rsidRPr="00223BE8">
              <w:rPr>
                <w:rFonts w:ascii="Arial" w:hAnsi="Arial" w:cs="Arial"/>
                <w:color w:val="0070C0"/>
              </w:rPr>
              <w:t>re</w:t>
            </w:r>
            <w:r w:rsidR="004E5C79" w:rsidRPr="00223BE8">
              <w:rPr>
                <w:rFonts w:ascii="Arial" w:hAnsi="Arial" w:cs="Arial"/>
                <w:color w:val="0070C0"/>
              </w:rPr>
              <w:t xml:space="preserve"> Wiederholung</w:t>
            </w:r>
          </w:p>
          <w:p w:rsidR="00603B59" w:rsidRPr="00603B59" w:rsidRDefault="00603B59" w:rsidP="008638CE">
            <w:pPr>
              <w:spacing w:after="60" w:line="240" w:lineRule="auto"/>
              <w:rPr>
                <w:rFonts w:ascii="Arial" w:hAnsi="Arial" w:cs="Arial"/>
                <w:i/>
              </w:rPr>
            </w:pPr>
            <w:r w:rsidRPr="00603B59">
              <w:rPr>
                <w:rFonts w:ascii="Arial" w:hAnsi="Arial" w:cs="Arial"/>
                <w:i/>
              </w:rPr>
              <w:t xml:space="preserve">Kernaussage: </w:t>
            </w:r>
            <w:r w:rsidR="00BA13B5">
              <w:rPr>
                <w:rFonts w:ascii="Arial" w:hAnsi="Arial" w:cs="Arial"/>
                <w:i/>
              </w:rPr>
              <w:br/>
            </w:r>
            <w:r w:rsidR="00391BD4">
              <w:rPr>
                <w:rFonts w:ascii="Arial" w:hAnsi="Arial" w:cs="Arial"/>
                <w:i/>
              </w:rPr>
              <w:t xml:space="preserve">Glukose ist ein energiereiches Molekül, das über </w:t>
            </w:r>
            <w:r w:rsidR="007637A8">
              <w:rPr>
                <w:rFonts w:ascii="Arial" w:hAnsi="Arial" w:cs="Arial"/>
                <w:i/>
              </w:rPr>
              <w:t>den Darm</w:t>
            </w:r>
            <w:r w:rsidR="00391BD4">
              <w:rPr>
                <w:rFonts w:ascii="Arial" w:hAnsi="Arial" w:cs="Arial"/>
                <w:i/>
              </w:rPr>
              <w:t xml:space="preserve"> ins Blut und in die Zellen gelangt. Sein Abbau</w:t>
            </w:r>
            <w:r w:rsidR="005F1FAF">
              <w:rPr>
                <w:rFonts w:ascii="Arial" w:hAnsi="Arial" w:cs="Arial"/>
                <w:i/>
              </w:rPr>
              <w:t xml:space="preserve"> </w:t>
            </w:r>
            <w:r w:rsidR="00391BD4">
              <w:rPr>
                <w:rFonts w:ascii="Arial" w:hAnsi="Arial" w:cs="Arial"/>
                <w:i/>
              </w:rPr>
              <w:t>liefert der Zelle die Energie für alle lebenserhaltenden Prozesse</w:t>
            </w:r>
            <w:r w:rsidR="005823DC">
              <w:rPr>
                <w:rFonts w:ascii="Arial" w:hAnsi="Arial" w:cs="Arial"/>
                <w:i/>
              </w:rPr>
              <w:t>.</w:t>
            </w:r>
            <w:r w:rsidR="008638CE">
              <w:rPr>
                <w:rFonts w:ascii="Arial" w:hAnsi="Arial" w:cs="Arial"/>
                <w:i/>
              </w:rPr>
              <w:br/>
            </w:r>
            <w:r w:rsidR="009E7B81">
              <w:rPr>
                <w:rFonts w:ascii="Arial" w:hAnsi="Arial" w:cs="Arial"/>
                <w:i/>
              </w:rPr>
              <w:t>Zur Bereitstellung</w:t>
            </w:r>
            <w:r w:rsidR="00391BD4">
              <w:rPr>
                <w:rFonts w:ascii="Arial" w:hAnsi="Arial" w:cs="Arial"/>
                <w:i/>
              </w:rPr>
              <w:t xml:space="preserve"> der Energie aus der Glukose ist Sauerstoff notwendig.</w:t>
            </w:r>
            <w:r w:rsidR="007637A8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196147" w:rsidRPr="00F97890" w:rsidTr="00E13BB7">
        <w:trPr>
          <w:trHeight w:val="472"/>
        </w:trPr>
        <w:tc>
          <w:tcPr>
            <w:tcW w:w="1278" w:type="pct"/>
            <w:shd w:val="clear" w:color="auto" w:fill="auto"/>
          </w:tcPr>
          <w:p w:rsidR="00196147" w:rsidRDefault="00196147" w:rsidP="007D5BB3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</w:pPr>
            <w:r w:rsidRPr="00F97890"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  <w:t>Wie wird der Zuckergehalt im Blut reguliert?</w:t>
            </w:r>
          </w:p>
          <w:p w:rsidR="008638CE" w:rsidRDefault="008638CE" w:rsidP="007D5BB3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</w:pPr>
          </w:p>
          <w:p w:rsidR="000F69B6" w:rsidRPr="000F69B6" w:rsidRDefault="000F69B6" w:rsidP="007D5BB3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lang w:eastAsia="de-DE"/>
              </w:rPr>
            </w:pPr>
            <w:r w:rsidRPr="000F69B6">
              <w:rPr>
                <w:rFonts w:ascii="Arial" w:eastAsia="Times New Roman" w:hAnsi="Arial" w:cs="Arial"/>
                <w:lang w:eastAsia="de-DE"/>
              </w:rPr>
              <w:t>Hormonelle Blutzuckerregulation</w:t>
            </w:r>
          </w:p>
          <w:p w:rsidR="00C379D1" w:rsidRDefault="00196147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hAnsi="Arial" w:cs="Arial"/>
              </w:rPr>
            </w:pPr>
            <w:r w:rsidRPr="00080E52">
              <w:rPr>
                <w:rFonts w:ascii="Arial" w:hAnsi="Arial" w:cs="Arial"/>
              </w:rPr>
              <w:t>Positive und negative Rückkopplung</w:t>
            </w:r>
          </w:p>
          <w:p w:rsidR="00196147" w:rsidRDefault="00196147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hAnsi="Arial" w:cs="Arial"/>
              </w:rPr>
            </w:pPr>
            <w:r w:rsidRPr="00C379D1">
              <w:rPr>
                <w:rFonts w:ascii="Arial" w:hAnsi="Arial" w:cs="Arial"/>
              </w:rPr>
              <w:t>Darstellung in Pfeildiagrammen und Regelkreisen</w:t>
            </w:r>
          </w:p>
          <w:p w:rsidR="008638CE" w:rsidRPr="00C379D1" w:rsidRDefault="008638CE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hAnsi="Arial" w:cs="Arial"/>
              </w:rPr>
            </w:pPr>
          </w:p>
          <w:p w:rsidR="008638CE" w:rsidRDefault="00196147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eastAsia="Times New Roman" w:hAnsi="Arial" w:cs="Arial"/>
                <w:i/>
                <w:iCs/>
                <w:lang w:val="en-US" w:eastAsia="de-DE"/>
              </w:rPr>
            </w:pPr>
            <w:r w:rsidRPr="000F1B36">
              <w:rPr>
                <w:rFonts w:ascii="Arial" w:hAnsi="Arial" w:cs="Arial"/>
                <w:lang w:val="en-US"/>
              </w:rPr>
              <w:t xml:space="preserve">Hormone Insulin, </w:t>
            </w:r>
            <w:proofErr w:type="spellStart"/>
            <w:r w:rsidRPr="000F1B36">
              <w:rPr>
                <w:rFonts w:ascii="Arial" w:hAnsi="Arial" w:cs="Arial"/>
                <w:lang w:val="en-US"/>
              </w:rPr>
              <w:t>Glukagon</w:t>
            </w:r>
            <w:proofErr w:type="spellEnd"/>
            <w:r w:rsidRPr="000F1B36">
              <w:rPr>
                <w:rFonts w:ascii="Arial" w:hAnsi="Arial" w:cs="Arial"/>
                <w:lang w:val="en-US"/>
              </w:rPr>
              <w:t xml:space="preserve">, </w:t>
            </w:r>
            <w:r w:rsidRPr="000F1B36">
              <w:rPr>
                <w:rFonts w:ascii="Arial" w:hAnsi="Arial" w:cs="Arial"/>
                <w:lang w:val="en-US"/>
              </w:rPr>
              <w:br/>
            </w:r>
            <w:proofErr w:type="spellStart"/>
            <w:r w:rsidR="00B8280B" w:rsidRPr="000F1B36">
              <w:rPr>
                <w:rFonts w:ascii="Arial" w:hAnsi="Arial" w:cs="Arial"/>
                <w:color w:val="4F81BD" w:themeColor="accent1"/>
                <w:lang w:val="en-US"/>
              </w:rPr>
              <w:t>evtl</w:t>
            </w:r>
            <w:proofErr w:type="spellEnd"/>
            <w:r w:rsidR="00B8280B" w:rsidRPr="000F1B36">
              <w:rPr>
                <w:rFonts w:ascii="Arial" w:hAnsi="Arial" w:cs="Arial"/>
                <w:color w:val="4F81BD" w:themeColor="accent1"/>
                <w:lang w:val="en-US"/>
              </w:rPr>
              <w:t>. Adrenalin</w:t>
            </w:r>
            <w:r w:rsidR="00C379D1" w:rsidRPr="000F1B36">
              <w:rPr>
                <w:rFonts w:ascii="Arial" w:hAnsi="Arial" w:cs="Arial"/>
                <w:lang w:val="en-US"/>
              </w:rPr>
              <w:t xml:space="preserve">            </w:t>
            </w:r>
            <w:r w:rsidR="008638CE">
              <w:rPr>
                <w:rFonts w:ascii="Arial" w:eastAsia="Times New Roman" w:hAnsi="Arial" w:cs="Arial"/>
                <w:i/>
                <w:iCs/>
                <w:lang w:val="en-US" w:eastAsia="de-DE"/>
              </w:rPr>
              <w:br/>
              <w:t xml:space="preserve">                       </w:t>
            </w:r>
          </w:p>
          <w:p w:rsidR="00196147" w:rsidRPr="008638CE" w:rsidRDefault="00C379D1" w:rsidP="008638CE">
            <w:pPr>
              <w:pStyle w:val="Listenabsatz"/>
              <w:numPr>
                <w:ilvl w:val="0"/>
                <w:numId w:val="0"/>
              </w:numPr>
              <w:ind w:left="720"/>
              <w:jc w:val="right"/>
              <w:rPr>
                <w:rFonts w:eastAsia="Times New Roman" w:cs="Arial"/>
                <w:i/>
                <w:iCs/>
                <w:lang w:val="en-US" w:eastAsia="de-DE"/>
              </w:rPr>
            </w:pPr>
            <w:r w:rsidRPr="008638CE">
              <w:rPr>
                <w:rFonts w:eastAsia="Times New Roman" w:cs="Arial"/>
                <w:i/>
                <w:iCs/>
                <w:lang w:val="en-US" w:eastAsia="de-DE"/>
              </w:rPr>
              <w:t xml:space="preserve">        </w:t>
            </w:r>
            <w:r w:rsidRPr="008638CE">
              <w:rPr>
                <w:rFonts w:cs="Arial"/>
                <w:lang w:val="en-US"/>
              </w:rPr>
              <w:t>ca. 3 Ustd.</w:t>
            </w:r>
          </w:p>
          <w:p w:rsidR="00B8280B" w:rsidRPr="000F1B36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4F81BD" w:themeColor="accent1"/>
                <w:lang w:val="en-US"/>
              </w:rPr>
            </w:pPr>
          </w:p>
          <w:p w:rsidR="00B8280B" w:rsidRPr="000F1B36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4F81BD" w:themeColor="accent1"/>
                <w:lang w:val="en-US"/>
              </w:rPr>
            </w:pPr>
          </w:p>
          <w:p w:rsidR="00B8280B" w:rsidRPr="000F1B36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4F81BD" w:themeColor="accent1"/>
                <w:lang w:val="en-US"/>
              </w:rPr>
            </w:pPr>
          </w:p>
          <w:p w:rsidR="00B8280B" w:rsidRPr="000F1B36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4F81BD" w:themeColor="accent1"/>
                <w:lang w:val="en-US"/>
              </w:rPr>
            </w:pPr>
          </w:p>
          <w:p w:rsidR="00B8280B" w:rsidRPr="000F1B36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4F81BD" w:themeColor="accent1"/>
                <w:lang w:val="en-US"/>
              </w:rPr>
            </w:pPr>
          </w:p>
          <w:p w:rsidR="00B8280B" w:rsidRPr="000F1B36" w:rsidRDefault="00B8280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eastAsia="Times New Roman" w:hAnsi="Arial" w:cs="Arial"/>
                <w:i/>
                <w:iCs/>
                <w:lang w:val="en-US" w:eastAsia="de-DE"/>
              </w:rPr>
            </w:pPr>
          </w:p>
          <w:p w:rsidR="00196147" w:rsidRPr="00F97890" w:rsidRDefault="00B8280B" w:rsidP="007D5BB3">
            <w:pPr>
              <w:spacing w:beforeLines="60" w:before="144" w:afterLines="60" w:after="144" w:line="240" w:lineRule="auto"/>
              <w:jc w:val="right"/>
              <w:rPr>
                <w:rStyle w:val="SchwerpunktHngendZchn"/>
                <w:rFonts w:cs="Arial"/>
                <w:b/>
                <w:bCs/>
                <w:i/>
                <w:iCs/>
                <w:sz w:val="22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574" w:type="pct"/>
            <w:shd w:val="clear" w:color="auto" w:fill="auto"/>
          </w:tcPr>
          <w:p w:rsidR="00196147" w:rsidRPr="00F97890" w:rsidRDefault="00853019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a</w:t>
            </w:r>
            <w:r w:rsidR="00D73F1A" w:rsidRPr="00F97890">
              <w:rPr>
                <w:rFonts w:cs="Arial"/>
                <w:sz w:val="22"/>
              </w:rPr>
              <w:t>m Beispiel des Blutzuckergehalts die Bedeutung der Regulation durch negatives Feedback und durch antagonistisch wirkende H</w:t>
            </w:r>
            <w:r w:rsidR="00CD24E8">
              <w:rPr>
                <w:rFonts w:cs="Arial"/>
                <w:sz w:val="22"/>
              </w:rPr>
              <w:t>ormone erläutern (UF1, UF4, E6).</w:t>
            </w:r>
          </w:p>
        </w:tc>
        <w:tc>
          <w:tcPr>
            <w:tcW w:w="2148" w:type="pct"/>
            <w:shd w:val="clear" w:color="auto" w:fill="auto"/>
          </w:tcPr>
          <w:p w:rsidR="002217A5" w:rsidRDefault="002217A5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Betrachtung von Messwerten</w:t>
            </w:r>
            <w:r w:rsidR="007D1E70">
              <w:rPr>
                <w:rFonts w:cs="Arial"/>
              </w:rPr>
              <w:t xml:space="preserve"> der Blutzuckerkonzentration bei gesunden Personen</w:t>
            </w:r>
            <w:r>
              <w:rPr>
                <w:rFonts w:cs="Arial"/>
              </w:rPr>
              <w:t xml:space="preserve"> [</w:t>
            </w:r>
            <w:r w:rsidR="00B56F09">
              <w:rPr>
                <w:rFonts w:cs="Arial"/>
              </w:rPr>
              <w:t xml:space="preserve">2] </w:t>
            </w:r>
          </w:p>
          <w:p w:rsidR="005F46DF" w:rsidRPr="000A73AC" w:rsidRDefault="005F46DF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eastAsia="Arial" w:cs="Arial"/>
              </w:rPr>
            </w:pPr>
            <w:r w:rsidRPr="000A73AC">
              <w:rPr>
                <w:rFonts w:cs="Arial"/>
              </w:rPr>
              <w:t xml:space="preserve">Veranschaulichung des normalerweise konstanten </w:t>
            </w:r>
            <w:proofErr w:type="gramStart"/>
            <w:r w:rsidRPr="000A73AC">
              <w:rPr>
                <w:rFonts w:cs="Arial"/>
              </w:rPr>
              <w:t>Blut-zuckerspiegels</w:t>
            </w:r>
            <w:proofErr w:type="gramEnd"/>
            <w:r w:rsidRPr="000A73AC">
              <w:rPr>
                <w:rFonts w:cs="Arial"/>
              </w:rPr>
              <w:t xml:space="preserve"> von 70 – 110 mg /dl</w:t>
            </w:r>
            <w:r w:rsidR="005D08F8" w:rsidRPr="000A73AC">
              <w:rPr>
                <w:rFonts w:cs="Arial"/>
              </w:rPr>
              <w:t xml:space="preserve">: </w:t>
            </w:r>
            <w:r w:rsidR="007E74ED" w:rsidRPr="000A73AC">
              <w:rPr>
                <w:rFonts w:cs="Arial"/>
              </w:rPr>
              <w:t xml:space="preserve">bei einem Blutvolumen von 5-6 Litern entspricht das etwa </w:t>
            </w:r>
            <w:r w:rsidR="005D08F8" w:rsidRPr="000A73AC">
              <w:rPr>
                <w:rFonts w:cs="Arial"/>
              </w:rPr>
              <w:t xml:space="preserve">1 Teelöffel </w:t>
            </w:r>
            <w:r w:rsidR="000A73AC">
              <w:rPr>
                <w:rFonts w:cs="Arial"/>
              </w:rPr>
              <w:t>Traubenz</w:t>
            </w:r>
            <w:r w:rsidR="005D08F8" w:rsidRPr="000A73AC">
              <w:rPr>
                <w:rFonts w:cs="Arial"/>
              </w:rPr>
              <w:t xml:space="preserve">ucker </w:t>
            </w:r>
            <w:r w:rsidR="00544BB6">
              <w:rPr>
                <w:rFonts w:cs="Arial"/>
              </w:rPr>
              <w:t xml:space="preserve">(5 </w:t>
            </w:r>
            <w:r w:rsidR="007E74ED" w:rsidRPr="000A73AC">
              <w:rPr>
                <w:rFonts w:cs="Arial"/>
              </w:rPr>
              <w:t xml:space="preserve">g) </w:t>
            </w:r>
            <w:r w:rsidR="005D08F8" w:rsidRPr="000A73AC">
              <w:rPr>
                <w:rFonts w:cs="Arial"/>
              </w:rPr>
              <w:t>auf einen 5-Liter-Wasserkanister</w:t>
            </w:r>
            <w:r w:rsidR="002217A5" w:rsidRPr="000A73AC">
              <w:rPr>
                <w:rFonts w:eastAsia="Arial" w:cs="Arial"/>
              </w:rPr>
              <w:t xml:space="preserve"> </w:t>
            </w:r>
          </w:p>
          <w:p w:rsidR="00F65A52" w:rsidRDefault="008C3BA2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cs="Arial"/>
              </w:rPr>
            </w:pPr>
            <w:r>
              <w:rPr>
                <w:rFonts w:eastAsia="Arial" w:cs="Arial"/>
                <w:color w:val="00000A"/>
              </w:rPr>
              <w:t xml:space="preserve">Erarbeitung </w:t>
            </w:r>
            <w:r w:rsidR="005F46DF">
              <w:rPr>
                <w:rFonts w:eastAsia="Arial" w:cs="Arial"/>
                <w:color w:val="00000A"/>
              </w:rPr>
              <w:t>der</w:t>
            </w:r>
            <w:r w:rsidR="005F46DF" w:rsidRPr="002461C4">
              <w:rPr>
                <w:rFonts w:eastAsia="Arial" w:cs="Arial"/>
                <w:color w:val="00000A"/>
              </w:rPr>
              <w:t xml:space="preserve"> </w:t>
            </w:r>
            <w:r w:rsidR="00A22C50">
              <w:rPr>
                <w:rFonts w:cs="Arial"/>
              </w:rPr>
              <w:t>Blutzuckerregulation als Beispiel</w:t>
            </w:r>
            <w:r w:rsidR="005F46DF" w:rsidRPr="002461C4">
              <w:rPr>
                <w:rFonts w:cs="Arial"/>
              </w:rPr>
              <w:t xml:space="preserve"> einer </w:t>
            </w:r>
            <w:r w:rsidR="005105B9">
              <w:rPr>
                <w:rFonts w:cs="Arial"/>
              </w:rPr>
              <w:t xml:space="preserve">Regulation durch </w:t>
            </w:r>
            <w:r w:rsidR="005F46DF" w:rsidRPr="002461C4">
              <w:rPr>
                <w:rFonts w:cs="Arial"/>
              </w:rPr>
              <w:t>negative</w:t>
            </w:r>
            <w:r w:rsidR="005105B9">
              <w:rPr>
                <w:rFonts w:cs="Arial"/>
              </w:rPr>
              <w:t xml:space="preserve">s Feedback </w:t>
            </w:r>
            <w:r w:rsidR="005F46DF">
              <w:rPr>
                <w:rFonts w:cs="Arial"/>
              </w:rPr>
              <w:t>[</w:t>
            </w:r>
            <w:r w:rsidR="00E41D7F">
              <w:rPr>
                <w:rFonts w:cs="Arial"/>
              </w:rPr>
              <w:t>3</w:t>
            </w:r>
            <w:r>
              <w:rPr>
                <w:rFonts w:cs="Arial"/>
              </w:rPr>
              <w:t>]</w:t>
            </w:r>
          </w:p>
          <w:p w:rsidR="008E7B41" w:rsidRDefault="008E7B41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cs="Arial"/>
              </w:rPr>
            </w:pPr>
          </w:p>
          <w:p w:rsidR="00C379D1" w:rsidRDefault="006610AB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eastAsia="Arial" w:cs="Arial"/>
                <w:i/>
                <w:iCs/>
                <w:color w:val="00000A"/>
              </w:rPr>
            </w:pPr>
            <w:r>
              <w:rPr>
                <w:rFonts w:eastAsia="Arial" w:cs="Arial"/>
                <w:i/>
                <w:iCs/>
                <w:color w:val="00000A"/>
              </w:rPr>
              <w:lastRenderedPageBreak/>
              <w:t>Die Alltags</w:t>
            </w:r>
            <w:r w:rsidRPr="006610AB">
              <w:rPr>
                <w:rFonts w:eastAsia="Arial" w:cs="Arial"/>
                <w:i/>
                <w:iCs/>
                <w:color w:val="00000A"/>
              </w:rPr>
              <w:t>vorstellung</w:t>
            </w:r>
            <w:r>
              <w:rPr>
                <w:rFonts w:eastAsia="Arial" w:cs="Arial"/>
                <w:i/>
                <w:iCs/>
                <w:color w:val="00000A"/>
              </w:rPr>
              <w:t xml:space="preserve"> „</w:t>
            </w:r>
            <w:r w:rsidRPr="006610AB">
              <w:rPr>
                <w:rFonts w:eastAsia="Arial" w:cs="Arial"/>
                <w:i/>
                <w:iCs/>
                <w:color w:val="00000A"/>
              </w:rPr>
              <w:t>Insulin alleine reguliert den Blutzuckergehalt</w:t>
            </w:r>
            <w:r>
              <w:rPr>
                <w:rFonts w:eastAsia="Arial" w:cs="Arial"/>
                <w:i/>
                <w:iCs/>
                <w:color w:val="00000A"/>
              </w:rPr>
              <w:t xml:space="preserve">“ wird </w:t>
            </w:r>
            <w:r w:rsidR="000F1B36">
              <w:rPr>
                <w:rFonts w:eastAsia="Arial" w:cs="Arial"/>
                <w:i/>
                <w:iCs/>
                <w:color w:val="00000A"/>
              </w:rPr>
              <w:t xml:space="preserve">durch Einbeziehen des Antagonisten Glukagon </w:t>
            </w:r>
            <w:r>
              <w:rPr>
                <w:rFonts w:eastAsia="Arial" w:cs="Arial"/>
                <w:i/>
                <w:iCs/>
                <w:color w:val="00000A"/>
              </w:rPr>
              <w:t xml:space="preserve">ergänzt. </w:t>
            </w:r>
          </w:p>
          <w:p w:rsidR="006610AB" w:rsidRDefault="003B5903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eastAsia="Arial" w:cs="Arial"/>
                <w:i/>
                <w:iCs/>
                <w:color w:val="00000A"/>
              </w:rPr>
            </w:pPr>
            <w:r>
              <w:rPr>
                <w:rFonts w:eastAsia="Arial" w:cs="Arial"/>
                <w:i/>
                <w:iCs/>
                <w:color w:val="00000A"/>
              </w:rPr>
              <w:t>Die Alltagsvorstellung „Regulationen geschehen bewusst“ wird durch die „automatisierte“ Beeinflussung des Blutzuckergehalts in der Gegenrichtung der gemessenen Abweichung korrigiert. Die Alltagsvorstellung „</w:t>
            </w:r>
            <w:r w:rsidR="007637A8">
              <w:rPr>
                <w:rFonts w:eastAsia="Arial" w:cs="Arial"/>
                <w:i/>
                <w:iCs/>
                <w:color w:val="00000A"/>
              </w:rPr>
              <w:t xml:space="preserve">negatives </w:t>
            </w:r>
            <w:r>
              <w:rPr>
                <w:rFonts w:eastAsia="Arial" w:cs="Arial"/>
                <w:i/>
                <w:iCs/>
                <w:color w:val="00000A"/>
              </w:rPr>
              <w:t xml:space="preserve">Feedback ist negativ (=schlecht)“ wird durch die Darstellung der Folgen bei </w:t>
            </w:r>
            <w:r w:rsidR="00866EFB">
              <w:rPr>
                <w:rFonts w:eastAsia="Arial" w:cs="Arial"/>
                <w:i/>
                <w:iCs/>
                <w:color w:val="00000A"/>
              </w:rPr>
              <w:t>a</w:t>
            </w:r>
            <w:r>
              <w:rPr>
                <w:rFonts w:eastAsia="Arial" w:cs="Arial"/>
                <w:i/>
                <w:iCs/>
                <w:color w:val="00000A"/>
              </w:rPr>
              <w:t>usbleiben</w:t>
            </w:r>
            <w:r w:rsidR="00866EFB">
              <w:rPr>
                <w:rFonts w:eastAsia="Arial" w:cs="Arial"/>
                <w:i/>
                <w:iCs/>
                <w:color w:val="00000A"/>
              </w:rPr>
              <w:t>dem</w:t>
            </w:r>
            <w:r>
              <w:rPr>
                <w:rFonts w:eastAsia="Arial" w:cs="Arial"/>
                <w:i/>
                <w:iCs/>
                <w:color w:val="00000A"/>
              </w:rPr>
              <w:t xml:space="preserve"> Feedback ko</w:t>
            </w:r>
            <w:r w:rsidR="00ED7824">
              <w:rPr>
                <w:rFonts w:eastAsia="Arial" w:cs="Arial"/>
                <w:i/>
                <w:iCs/>
                <w:color w:val="00000A"/>
              </w:rPr>
              <w:t>ntrastiert</w:t>
            </w:r>
            <w:r>
              <w:rPr>
                <w:rFonts w:eastAsia="Arial" w:cs="Arial"/>
                <w:i/>
                <w:iCs/>
                <w:color w:val="00000A"/>
              </w:rPr>
              <w:t xml:space="preserve">. </w:t>
            </w:r>
          </w:p>
          <w:p w:rsidR="005F46DF" w:rsidRPr="00C65CF6" w:rsidRDefault="008C3BA2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eastAsia="Arial" w:cs="Arial"/>
                <w:color w:val="00000A"/>
              </w:rPr>
            </w:pPr>
            <w:r>
              <w:rPr>
                <w:rFonts w:cs="Arial"/>
              </w:rPr>
              <w:t xml:space="preserve">Übertragung </w:t>
            </w:r>
            <w:r w:rsidR="006610AB" w:rsidRPr="00C65CF6">
              <w:rPr>
                <w:rFonts w:eastAsia="Arial" w:cs="Arial"/>
                <w:color w:val="00000A"/>
              </w:rPr>
              <w:t xml:space="preserve">des neuen Konzepts </w:t>
            </w:r>
            <w:r w:rsidR="006610AB">
              <w:rPr>
                <w:rFonts w:eastAsia="Arial" w:cs="Arial"/>
                <w:color w:val="00000A"/>
              </w:rPr>
              <w:t xml:space="preserve">der Regulation durch negatives Feedback </w:t>
            </w:r>
            <w:r>
              <w:rPr>
                <w:rFonts w:cs="Arial"/>
              </w:rPr>
              <w:t xml:space="preserve">durch </w:t>
            </w:r>
            <w:r w:rsidR="005F46DF" w:rsidRPr="00C65CF6">
              <w:rPr>
                <w:rFonts w:eastAsia="Arial" w:cs="Arial"/>
                <w:color w:val="00000A"/>
              </w:rPr>
              <w:t>Erklärung der Regulation einer anderen körperlichen Größe</w:t>
            </w:r>
            <w:r w:rsidR="005A006F">
              <w:rPr>
                <w:rFonts w:eastAsia="Arial" w:cs="Arial"/>
                <w:color w:val="00000A"/>
              </w:rPr>
              <w:t xml:space="preserve">, </w:t>
            </w:r>
            <w:r w:rsidR="00C65CF6">
              <w:rPr>
                <w:rFonts w:eastAsia="Arial" w:cs="Arial"/>
                <w:color w:val="00000A"/>
              </w:rPr>
              <w:t>z.B. Blutdruck</w:t>
            </w:r>
            <w:r w:rsidR="005A006F">
              <w:rPr>
                <w:rFonts w:eastAsia="Arial" w:cs="Arial"/>
                <w:color w:val="00000A"/>
              </w:rPr>
              <w:t>.</w:t>
            </w:r>
          </w:p>
          <w:p w:rsidR="005F46DF" w:rsidRDefault="007637A8" w:rsidP="007D5BB3">
            <w:pPr>
              <w:spacing w:beforeLines="60" w:before="144" w:afterLines="60" w:after="144" w:line="240" w:lineRule="auto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</w:rPr>
              <w:t>Übertragung auf</w:t>
            </w:r>
            <w:r w:rsidR="005F46DF" w:rsidRPr="00C65CF6">
              <w:rPr>
                <w:rFonts w:ascii="Arial" w:eastAsia="Arial" w:hAnsi="Arial" w:cs="Arial"/>
                <w:color w:val="00000A"/>
              </w:rPr>
              <w:t xml:space="preserve"> </w:t>
            </w:r>
            <w:r w:rsidR="00C65CF6">
              <w:rPr>
                <w:rFonts w:ascii="Arial" w:eastAsia="Arial" w:hAnsi="Arial" w:cs="Arial"/>
                <w:color w:val="00000A"/>
              </w:rPr>
              <w:t>einem nicht-biologischen Zusam</w:t>
            </w:r>
            <w:r w:rsidR="005F46DF" w:rsidRPr="00C65CF6">
              <w:rPr>
                <w:rFonts w:ascii="Arial" w:eastAsia="Arial" w:hAnsi="Arial" w:cs="Arial"/>
                <w:color w:val="00000A"/>
              </w:rPr>
              <w:t>men</w:t>
            </w:r>
            <w:r w:rsidR="00C65CF6">
              <w:rPr>
                <w:rFonts w:ascii="Arial" w:eastAsia="Arial" w:hAnsi="Arial" w:cs="Arial"/>
                <w:color w:val="00000A"/>
              </w:rPr>
              <w:t>hang</w:t>
            </w:r>
            <w:r w:rsidR="005A006F">
              <w:rPr>
                <w:rFonts w:ascii="Arial" w:eastAsia="Arial" w:hAnsi="Arial" w:cs="Arial"/>
                <w:color w:val="00000A"/>
              </w:rPr>
              <w:t xml:space="preserve">, </w:t>
            </w:r>
            <w:r w:rsidR="005F46DF" w:rsidRPr="00C65CF6">
              <w:rPr>
                <w:rFonts w:ascii="Arial" w:eastAsia="Arial" w:hAnsi="Arial" w:cs="Arial"/>
                <w:color w:val="00000A"/>
              </w:rPr>
              <w:t>z.B. Thermostat</w:t>
            </w:r>
            <w:r w:rsidR="005A006F">
              <w:rPr>
                <w:rFonts w:ascii="Arial" w:eastAsia="Arial" w:hAnsi="Arial" w:cs="Arial"/>
                <w:color w:val="00000A"/>
              </w:rPr>
              <w:t xml:space="preserve"> (ohne technische Terminologie wie Stellglied, Regler etc.)</w:t>
            </w:r>
          </w:p>
          <w:p w:rsidR="008638CE" w:rsidRPr="008638CE" w:rsidRDefault="006610AB" w:rsidP="007D5BB3">
            <w:pPr>
              <w:pStyle w:val="Listenabsatz"/>
              <w:numPr>
                <w:ilvl w:val="0"/>
                <w:numId w:val="0"/>
              </w:numPr>
              <w:spacing w:beforeLines="60" w:before="144" w:afterLines="60" w:after="144" w:line="240" w:lineRule="auto"/>
              <w:contextualSpacing w:val="0"/>
              <w:jc w:val="left"/>
              <w:rPr>
                <w:rFonts w:cs="Arial"/>
                <w:color w:val="4F81BD" w:themeColor="accent1"/>
              </w:rPr>
            </w:pPr>
            <w:r w:rsidRPr="00223BE8">
              <w:rPr>
                <w:rFonts w:cs="Arial"/>
                <w:color w:val="0070C0"/>
              </w:rPr>
              <w:t xml:space="preserve">Kontrastierung: Veranschaulichung </w:t>
            </w:r>
            <w:r w:rsidR="001455F5" w:rsidRPr="00223BE8">
              <w:rPr>
                <w:rFonts w:cs="Arial"/>
                <w:color w:val="0070C0"/>
              </w:rPr>
              <w:t>von positivem Feedback, d.h. sich selbst verstärkender Prozesse und der sich ergebenden Problematik von „Teufelskreisen“</w:t>
            </w:r>
            <w:r w:rsidRPr="00223BE8">
              <w:rPr>
                <w:rFonts w:cs="Arial"/>
                <w:color w:val="0070C0"/>
              </w:rPr>
              <w:t xml:space="preserve"> (z.B. Spielsucht) </w:t>
            </w:r>
            <w:r w:rsidRPr="00223BE8">
              <w:rPr>
                <w:rFonts w:cs="Arial"/>
                <w:color w:val="0070C0"/>
              </w:rPr>
              <w:sym w:font="Wingdings" w:char="F0E0"/>
            </w:r>
            <w:r w:rsidRPr="00223BE8">
              <w:rPr>
                <w:rFonts w:cs="Arial"/>
                <w:color w:val="0070C0"/>
              </w:rPr>
              <w:t xml:space="preserve"> Notwendigkeit der Unterbrechung </w:t>
            </w:r>
            <w:r w:rsidR="001455F5" w:rsidRPr="00223BE8">
              <w:rPr>
                <w:rFonts w:cs="Arial"/>
                <w:color w:val="0070C0"/>
              </w:rPr>
              <w:t xml:space="preserve">negativer Wirkungen </w:t>
            </w:r>
            <w:r w:rsidRPr="00223BE8">
              <w:rPr>
                <w:rFonts w:cs="Arial"/>
                <w:color w:val="0070C0"/>
              </w:rPr>
              <w:t>zur Aufrechterhaltung eines gesunden Körpers</w:t>
            </w:r>
          </w:p>
          <w:p w:rsidR="00B8280B" w:rsidRPr="002B0448" w:rsidRDefault="00B550CB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i/>
                <w:iCs/>
              </w:rPr>
            </w:pPr>
            <w:r w:rsidRPr="007579ED">
              <w:rPr>
                <w:rFonts w:ascii="Arial" w:hAnsi="Arial" w:cs="Arial"/>
                <w:i/>
                <w:iCs/>
              </w:rPr>
              <w:t xml:space="preserve">Kernaussage: </w:t>
            </w:r>
            <w:r w:rsidRPr="007579ED">
              <w:rPr>
                <w:rFonts w:ascii="Arial" w:hAnsi="Arial" w:cs="Arial"/>
                <w:i/>
                <w:iCs/>
              </w:rPr>
              <w:br/>
            </w:r>
            <w:bookmarkStart w:id="0" w:name="_Hlk19388748"/>
            <w:r w:rsidR="00B2722D" w:rsidRPr="00B2722D">
              <w:rPr>
                <w:rFonts w:ascii="Arial" w:hAnsi="Arial" w:cs="Arial"/>
                <w:i/>
                <w:iCs/>
              </w:rPr>
              <w:t xml:space="preserve">Der Körper kontrolliert ständig den stets schwankenden Wert der Blutzuckerkonzentration und kann dabei </w:t>
            </w:r>
            <w:r w:rsidR="007637A8">
              <w:rPr>
                <w:rFonts w:ascii="Arial" w:hAnsi="Arial" w:cs="Arial"/>
                <w:i/>
                <w:iCs/>
              </w:rPr>
              <w:t xml:space="preserve"> regulierend</w:t>
            </w:r>
            <w:r w:rsidR="007637A8" w:rsidRPr="00B2722D">
              <w:rPr>
                <w:rFonts w:ascii="Arial" w:hAnsi="Arial" w:cs="Arial"/>
                <w:i/>
                <w:iCs/>
              </w:rPr>
              <w:t xml:space="preserve"> </w:t>
            </w:r>
            <w:r w:rsidR="00B2722D" w:rsidRPr="00B2722D">
              <w:rPr>
                <w:rFonts w:ascii="Arial" w:hAnsi="Arial" w:cs="Arial"/>
                <w:i/>
                <w:iCs/>
              </w:rPr>
              <w:t xml:space="preserve">eingreifen. Bei zu hoher Blutzuckerkonzentration </w:t>
            </w:r>
            <w:r w:rsidR="007637A8">
              <w:rPr>
                <w:rFonts w:ascii="Arial" w:hAnsi="Arial" w:cs="Arial"/>
                <w:i/>
                <w:iCs/>
              </w:rPr>
              <w:t>wird</w:t>
            </w:r>
            <w:r w:rsidR="00B2722D" w:rsidRPr="00B2722D">
              <w:rPr>
                <w:rFonts w:ascii="Arial" w:hAnsi="Arial" w:cs="Arial"/>
                <w:i/>
                <w:iCs/>
              </w:rPr>
              <w:t xml:space="preserve"> das Hormon Insulin</w:t>
            </w:r>
            <w:r w:rsidR="007637A8">
              <w:rPr>
                <w:rFonts w:ascii="Arial" w:hAnsi="Arial" w:cs="Arial"/>
                <w:i/>
                <w:iCs/>
              </w:rPr>
              <w:t xml:space="preserve"> produziert</w:t>
            </w:r>
            <w:r w:rsidR="00B2722D" w:rsidRPr="00B2722D">
              <w:rPr>
                <w:rFonts w:ascii="Arial" w:hAnsi="Arial" w:cs="Arial"/>
                <w:i/>
                <w:iCs/>
              </w:rPr>
              <w:t xml:space="preserve">, bei zu niedriger Blutzuckerkonzentration das gegensätzlich („antagonistisch“) wirkende Hormon Glukagon. Das jeweils ausgeschüttete Hormon wirkt dann korrigierend auf die Blutzuckerkonzentration zurück („negatives Feedback“). </w:t>
            </w:r>
            <w:r w:rsidR="005A006F" w:rsidRPr="005A006F">
              <w:rPr>
                <w:rFonts w:ascii="Arial" w:hAnsi="Arial" w:cs="Arial"/>
                <w:i/>
                <w:iCs/>
              </w:rPr>
              <w:t xml:space="preserve">Negatives Feedback </w:t>
            </w:r>
            <w:r w:rsidR="00F65A52">
              <w:rPr>
                <w:rFonts w:ascii="Arial" w:hAnsi="Arial" w:cs="Arial"/>
                <w:i/>
                <w:iCs/>
              </w:rPr>
              <w:t xml:space="preserve">ist ein häufig vorkommender biologischer Regulationsmechanismus. </w:t>
            </w:r>
            <w:r w:rsidR="00B2722D" w:rsidRPr="00B2722D">
              <w:rPr>
                <w:rFonts w:ascii="Arial" w:hAnsi="Arial" w:cs="Arial"/>
                <w:i/>
                <w:iCs/>
              </w:rPr>
              <w:lastRenderedPageBreak/>
              <w:t>Wesentlich dabei ist, dass gleichsinnige Beziehungen an einer Stelle durch eine gegensinnige Beziehung durchbrochen werden</w:t>
            </w:r>
            <w:r w:rsidR="007637A8">
              <w:rPr>
                <w:rFonts w:ascii="Arial" w:hAnsi="Arial" w:cs="Arial"/>
                <w:i/>
                <w:iCs/>
              </w:rPr>
              <w:t>: „je mehr, desto weniger“ bzw. „je weniger, desto mehr“.</w:t>
            </w:r>
            <w:bookmarkEnd w:id="0"/>
          </w:p>
        </w:tc>
      </w:tr>
      <w:tr w:rsidR="00542AEB" w:rsidRPr="00F97890" w:rsidTr="00975C73">
        <w:trPr>
          <w:trHeight w:val="472"/>
        </w:trPr>
        <w:tc>
          <w:tcPr>
            <w:tcW w:w="1278" w:type="pct"/>
            <w:shd w:val="clear" w:color="auto" w:fill="auto"/>
          </w:tcPr>
          <w:p w:rsidR="00542AEB" w:rsidRDefault="00E95CB8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b/>
                <w:bCs/>
                <w:i/>
              </w:rPr>
            </w:pPr>
            <w:r w:rsidRPr="00322115">
              <w:rPr>
                <w:rFonts w:ascii="Arial" w:hAnsi="Arial" w:cs="Arial"/>
                <w:b/>
                <w:bCs/>
                <w:i/>
              </w:rPr>
              <w:lastRenderedPageBreak/>
              <w:t>Wie funktionieren Insulin und Glukagon auf Zellebene?</w:t>
            </w:r>
          </w:p>
          <w:p w:rsidR="00853019" w:rsidRPr="000F69B6" w:rsidRDefault="00853019" w:rsidP="007D5BB3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lang w:eastAsia="de-DE"/>
              </w:rPr>
            </w:pPr>
            <w:r w:rsidRPr="000F69B6">
              <w:rPr>
                <w:rFonts w:ascii="Arial" w:eastAsia="Times New Roman" w:hAnsi="Arial" w:cs="Arial"/>
                <w:lang w:eastAsia="de-DE"/>
              </w:rPr>
              <w:t>Hormonelle Blutzuckerregulation</w:t>
            </w:r>
          </w:p>
          <w:p w:rsidR="003628B0" w:rsidRDefault="00542AEB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Wirkungsweise von Hormonen</w:t>
            </w:r>
          </w:p>
          <w:p w:rsidR="003628B0" w:rsidRPr="003628B0" w:rsidRDefault="003628B0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</w:rPr>
            </w:pPr>
          </w:p>
          <w:p w:rsidR="00542AEB" w:rsidRPr="00F97890" w:rsidRDefault="00542AEB" w:rsidP="007D5BB3">
            <w:pPr>
              <w:spacing w:beforeLines="60" w:before="144" w:afterLines="60" w:after="144" w:line="240" w:lineRule="auto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F97890">
              <w:rPr>
                <w:rFonts w:ascii="Arial" w:hAnsi="Arial" w:cs="Arial"/>
              </w:rPr>
              <w:t>ca</w:t>
            </w:r>
            <w:r w:rsidR="00233518">
              <w:rPr>
                <w:rFonts w:ascii="Arial" w:hAnsi="Arial" w:cs="Arial"/>
              </w:rPr>
              <w:t>.</w:t>
            </w:r>
            <w:r w:rsidRPr="00F97890">
              <w:rPr>
                <w:rFonts w:ascii="Arial" w:hAnsi="Arial" w:cs="Arial"/>
              </w:rPr>
              <w:t xml:space="preserve"> </w:t>
            </w:r>
            <w:r w:rsidR="00233518">
              <w:rPr>
                <w:rFonts w:ascii="Arial" w:hAnsi="Arial" w:cs="Arial"/>
              </w:rPr>
              <w:t>1</w:t>
            </w:r>
            <w:r w:rsidR="003628B0">
              <w:rPr>
                <w:rFonts w:ascii="Arial" w:hAnsi="Arial" w:cs="Arial"/>
              </w:rPr>
              <w:t xml:space="preserve"> Ustd.</w:t>
            </w:r>
          </w:p>
        </w:tc>
        <w:tc>
          <w:tcPr>
            <w:tcW w:w="1574" w:type="pct"/>
            <w:shd w:val="clear" w:color="auto" w:fill="auto"/>
          </w:tcPr>
          <w:p w:rsidR="00542AEB" w:rsidRPr="00F97890" w:rsidRDefault="00542AEB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  <w:r w:rsidRPr="00F97890">
              <w:rPr>
                <w:rFonts w:cs="Arial"/>
                <w:sz w:val="22"/>
              </w:rPr>
              <w:t xml:space="preserve">das Schlüssel-Schloss-Modell zur Erklärung des Wirkmechanismus </w:t>
            </w:r>
            <w:r w:rsidR="00CD24E8">
              <w:rPr>
                <w:rFonts w:cs="Arial"/>
                <w:sz w:val="22"/>
              </w:rPr>
              <w:t>von Hormonen anwenden (E6).</w:t>
            </w:r>
          </w:p>
        </w:tc>
        <w:tc>
          <w:tcPr>
            <w:tcW w:w="2148" w:type="pct"/>
            <w:shd w:val="clear" w:color="auto" w:fill="auto"/>
          </w:tcPr>
          <w:p w:rsidR="009840A6" w:rsidRDefault="009840A6" w:rsidP="00975C7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Erarbeitung </w:t>
            </w:r>
            <w:r w:rsidR="0008765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er </w:t>
            </w:r>
            <w:r w:rsidR="00E5072F">
              <w:rPr>
                <w:rFonts w:ascii="Arial" w:hAnsi="Arial" w:cs="Arial"/>
              </w:rPr>
              <w:t>Wirk</w:t>
            </w:r>
            <w:r w:rsidR="0008765D">
              <w:rPr>
                <w:rFonts w:ascii="Arial" w:hAnsi="Arial" w:cs="Arial"/>
              </w:rPr>
              <w:t xml:space="preserve">weise von Insulin und Glukagon sowie einer allgemeinen </w:t>
            </w:r>
            <w:r>
              <w:rPr>
                <w:rFonts w:ascii="Arial" w:hAnsi="Arial" w:cs="Arial"/>
              </w:rPr>
              <w:t>Definition von Hormonen mithilfe des Schulbuchs</w:t>
            </w:r>
          </w:p>
          <w:p w:rsidR="00276CC2" w:rsidRPr="00E64C98" w:rsidRDefault="00322115" w:rsidP="00975C73">
            <w:pPr>
              <w:spacing w:before="60" w:after="60" w:line="240" w:lineRule="auto"/>
              <w:rPr>
                <w:rFonts w:ascii="Arial" w:hAnsi="Arial" w:cs="Arial"/>
              </w:rPr>
            </w:pPr>
            <w:r w:rsidRPr="00322115">
              <w:rPr>
                <w:rFonts w:ascii="Arial" w:hAnsi="Arial" w:cs="Arial"/>
              </w:rPr>
              <w:t xml:space="preserve">Erläuterung von </w:t>
            </w:r>
            <w:r w:rsidR="00542AEB" w:rsidRPr="00322115">
              <w:rPr>
                <w:rFonts w:ascii="Arial" w:hAnsi="Arial" w:cs="Arial"/>
              </w:rPr>
              <w:t>Modelldarstellungen zum Wirkmechanismus von Hormonen an ihrer Zielzelle nach dem Schlüssel-Schloss-Modell</w:t>
            </w:r>
          </w:p>
          <w:p w:rsidR="00542AEB" w:rsidRPr="0078162B" w:rsidRDefault="00542AEB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bCs/>
                <w:i/>
                <w:iCs/>
              </w:rPr>
            </w:pPr>
            <w:r w:rsidRPr="00361DEE">
              <w:rPr>
                <w:rFonts w:ascii="Arial" w:hAnsi="Arial" w:cs="Arial"/>
                <w:bCs/>
                <w:i/>
                <w:iCs/>
              </w:rPr>
              <w:t xml:space="preserve">Kernaussage: </w:t>
            </w:r>
            <w:r>
              <w:rPr>
                <w:rFonts w:ascii="Arial" w:hAnsi="Arial" w:cs="Arial"/>
                <w:bCs/>
                <w:i/>
                <w:iCs/>
              </w:rPr>
              <w:br/>
            </w:r>
            <w:r w:rsidR="0078162B">
              <w:rPr>
                <w:rFonts w:ascii="Arial" w:hAnsi="Arial" w:cs="Arial"/>
                <w:bCs/>
                <w:i/>
                <w:iCs/>
              </w:rPr>
              <w:t xml:space="preserve">Hormone </w:t>
            </w:r>
            <w:r>
              <w:rPr>
                <w:rFonts w:ascii="Arial" w:hAnsi="Arial" w:cs="Arial"/>
                <w:bCs/>
                <w:i/>
                <w:iCs/>
              </w:rPr>
              <w:t>sind chemische Signalstoffe, die von speziellen Zellen gebildet und in geringen Mengen ins Blut abgegeben werden.</w:t>
            </w:r>
            <w:r w:rsidR="005E168C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00746E">
              <w:rPr>
                <w:rFonts w:ascii="Arial" w:hAnsi="Arial" w:cs="Arial"/>
                <w:bCs/>
                <w:i/>
                <w:iCs/>
              </w:rPr>
              <w:t xml:space="preserve">Dass sie nur an ihren spezifischen Zielzellen eine Wirkung entfalten, lässt sich mit dem Schlüssel-Schloss-Modell erklären: </w:t>
            </w:r>
            <w:r>
              <w:rPr>
                <w:rFonts w:ascii="Arial" w:hAnsi="Arial" w:cs="Arial"/>
                <w:bCs/>
                <w:i/>
                <w:iCs/>
              </w:rPr>
              <w:t>Auf der Membran</w:t>
            </w:r>
            <w:r w:rsidR="0000746E">
              <w:rPr>
                <w:rFonts w:ascii="Arial" w:hAnsi="Arial" w:cs="Arial"/>
                <w:bCs/>
                <w:i/>
                <w:iCs/>
              </w:rPr>
              <w:t xml:space="preserve"> der Zielzellen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DD53D0">
              <w:rPr>
                <w:rFonts w:ascii="Arial" w:hAnsi="Arial" w:cs="Arial"/>
                <w:bCs/>
                <w:i/>
                <w:iCs/>
              </w:rPr>
              <w:t>be</w:t>
            </w:r>
            <w:r>
              <w:rPr>
                <w:rFonts w:ascii="Arial" w:hAnsi="Arial" w:cs="Arial"/>
                <w:bCs/>
                <w:i/>
                <w:iCs/>
              </w:rPr>
              <w:t>finden sich zum jeweiligen Hormon passend</w:t>
            </w:r>
            <w:r w:rsidR="004E591F">
              <w:rPr>
                <w:rFonts w:ascii="Arial" w:hAnsi="Arial" w:cs="Arial"/>
                <w:bCs/>
                <w:i/>
                <w:iCs/>
              </w:rPr>
              <w:t>e</w:t>
            </w:r>
            <w:r>
              <w:rPr>
                <w:rFonts w:ascii="Arial" w:hAnsi="Arial" w:cs="Arial"/>
                <w:bCs/>
                <w:i/>
                <w:iCs/>
              </w:rPr>
              <w:t xml:space="preserve"> Rezeptoren</w:t>
            </w:r>
            <w:r w:rsidR="00DD4C6D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196147" w:rsidRPr="00F97890" w:rsidTr="00E13BB7">
        <w:trPr>
          <w:trHeight w:val="472"/>
        </w:trPr>
        <w:tc>
          <w:tcPr>
            <w:tcW w:w="1278" w:type="pct"/>
            <w:shd w:val="clear" w:color="auto" w:fill="auto"/>
          </w:tcPr>
          <w:p w:rsidR="00196147" w:rsidRPr="00F97890" w:rsidRDefault="00196147" w:rsidP="007D5BB3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</w:pPr>
            <w:r w:rsidRPr="00FE0D4F"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  <w:t>W</w:t>
            </w:r>
            <w:r w:rsidR="00FE0D4F" w:rsidRPr="00FE0D4F"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  <w:t>i</w:t>
            </w:r>
            <w:r w:rsidR="00FE0D4F"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  <w:t xml:space="preserve">e </w:t>
            </w:r>
            <w:r w:rsidR="00CD24E8"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  <w:t>ist die hormonelle Regula</w:t>
            </w:r>
            <w:r w:rsidR="00152E72">
              <w:rPr>
                <w:rFonts w:ascii="Arial" w:eastAsia="Times New Roman" w:hAnsi="Arial" w:cs="Arial"/>
                <w:b/>
                <w:bCs/>
                <w:i/>
                <w:iCs/>
                <w:lang w:eastAsia="de-DE"/>
              </w:rPr>
              <w:t>tion bei Diabetikern verändert?</w:t>
            </w:r>
          </w:p>
          <w:p w:rsidR="007F298B" w:rsidRDefault="007F298B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  <w:p w:rsidR="00196147" w:rsidRPr="00F97890" w:rsidRDefault="00196147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hAnsi="Arial" w:cs="Arial"/>
              </w:rPr>
            </w:pPr>
            <w:r w:rsidRPr="00F97890">
              <w:rPr>
                <w:rFonts w:ascii="Arial" w:hAnsi="Arial" w:cs="Arial"/>
              </w:rPr>
              <w:t>Unterscheidung in Diabetes Typ I und II</w:t>
            </w:r>
          </w:p>
          <w:p w:rsidR="00196147" w:rsidRDefault="00052EA6" w:rsidP="007D5BB3">
            <w:pPr>
              <w:widowControl w:val="0"/>
              <w:numPr>
                <w:ilvl w:val="0"/>
                <w:numId w:val="14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 w:hanging="197"/>
              <w:rPr>
                <w:rFonts w:ascii="Arial" w:eastAsia="Times New Roman" w:hAnsi="Arial" w:cs="Arial"/>
                <w:lang w:eastAsia="de-DE"/>
              </w:rPr>
            </w:pPr>
            <w:r w:rsidRPr="00052EA6">
              <w:rPr>
                <w:rFonts w:ascii="Arial" w:eastAsia="Times New Roman" w:hAnsi="Arial" w:cs="Arial"/>
                <w:lang w:eastAsia="de-DE"/>
              </w:rPr>
              <w:t>Therapie und Prävention</w:t>
            </w:r>
          </w:p>
          <w:p w:rsidR="003628B0" w:rsidRPr="00052EA6" w:rsidRDefault="003628B0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ind w:left="197"/>
              <w:rPr>
                <w:rFonts w:ascii="Arial" w:eastAsia="Times New Roman" w:hAnsi="Arial" w:cs="Arial"/>
                <w:lang w:eastAsia="de-DE"/>
              </w:rPr>
            </w:pPr>
          </w:p>
          <w:p w:rsidR="00196147" w:rsidRPr="00F97890" w:rsidRDefault="00196147" w:rsidP="007D5BB3">
            <w:pPr>
              <w:spacing w:beforeLines="60" w:before="144" w:afterLines="60" w:after="144" w:line="240" w:lineRule="auto"/>
              <w:jc w:val="right"/>
              <w:rPr>
                <w:rStyle w:val="SchwerpunktHngendZchn"/>
                <w:rFonts w:cs="Arial"/>
                <w:b/>
                <w:bCs/>
                <w:i/>
                <w:iCs/>
                <w:sz w:val="22"/>
              </w:rPr>
            </w:pPr>
            <w:r w:rsidRPr="00F97890">
              <w:rPr>
                <w:rFonts w:ascii="Arial" w:hAnsi="Arial" w:cs="Arial"/>
              </w:rPr>
              <w:t xml:space="preserve">ca. </w:t>
            </w:r>
            <w:r w:rsidR="00F16C9F">
              <w:rPr>
                <w:rFonts w:ascii="Arial" w:hAnsi="Arial" w:cs="Arial"/>
              </w:rPr>
              <w:t>3</w:t>
            </w:r>
            <w:r w:rsidR="003628B0">
              <w:rPr>
                <w:rFonts w:ascii="Arial" w:hAnsi="Arial" w:cs="Arial"/>
              </w:rPr>
              <w:t xml:space="preserve"> Ustd.</w:t>
            </w:r>
          </w:p>
        </w:tc>
        <w:tc>
          <w:tcPr>
            <w:tcW w:w="1574" w:type="pct"/>
            <w:shd w:val="clear" w:color="auto" w:fill="auto"/>
          </w:tcPr>
          <w:p w:rsidR="00196147" w:rsidRDefault="00D73F1A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  <w:bookmarkStart w:id="1" w:name="_Hlk18071988"/>
            <w:r w:rsidRPr="00F97890">
              <w:rPr>
                <w:rFonts w:cs="Arial"/>
                <w:sz w:val="22"/>
              </w:rPr>
              <w:t>Ursachen und Auswirkungen von Diabetes mellitus Typ I und II datenbasiert miteinander vergleichen sowie geeignete Therapie</w:t>
            </w:r>
            <w:r w:rsidR="00CD24E8">
              <w:rPr>
                <w:rFonts w:cs="Arial"/>
                <w:sz w:val="22"/>
              </w:rPr>
              <w:t>ansätze ableiten (UF1, UF2, E5).</w:t>
            </w:r>
          </w:p>
          <w:p w:rsidR="00BF17B6" w:rsidRDefault="00052EA6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  <w:szCs w:val="20"/>
              </w:rPr>
            </w:pPr>
            <w:r w:rsidRPr="00052EA6">
              <w:rPr>
                <w:rFonts w:cs="Arial"/>
                <w:sz w:val="22"/>
                <w:szCs w:val="20"/>
              </w:rPr>
              <w:t xml:space="preserve">Handlungsoptionen zur Vorbeugung von </w:t>
            </w:r>
            <w:r w:rsidR="00CD24E8">
              <w:rPr>
                <w:rFonts w:cs="Arial"/>
                <w:sz w:val="22"/>
                <w:szCs w:val="20"/>
              </w:rPr>
              <w:t>Diabetes Typ II entwickeln (B2).</w:t>
            </w:r>
          </w:p>
          <w:p w:rsidR="00316E27" w:rsidRDefault="00316E27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  <w:szCs w:val="20"/>
              </w:rPr>
            </w:pPr>
          </w:p>
          <w:p w:rsidR="00070C62" w:rsidRDefault="00070C62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color w:val="4F81BD" w:themeColor="accent1"/>
                <w:sz w:val="22"/>
              </w:rPr>
            </w:pPr>
          </w:p>
          <w:p w:rsidR="000553C9" w:rsidRDefault="000553C9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color w:val="4F81BD" w:themeColor="accent1"/>
                <w:sz w:val="22"/>
              </w:rPr>
            </w:pPr>
          </w:p>
          <w:p w:rsidR="00052EA6" w:rsidRPr="00F97890" w:rsidRDefault="00BF17B6" w:rsidP="007D5BB3">
            <w:pPr>
              <w:pStyle w:val="Liste-KonkretisierteKompetenz"/>
              <w:spacing w:beforeLines="60" w:before="144" w:afterLines="60" w:after="144" w:line="240" w:lineRule="auto"/>
              <w:jc w:val="left"/>
              <w:rPr>
                <w:rFonts w:cs="Arial"/>
                <w:sz w:val="22"/>
              </w:rPr>
            </w:pPr>
            <w:r w:rsidRPr="00223BE8">
              <w:rPr>
                <w:rFonts w:cs="Arial"/>
                <w:color w:val="0070C0"/>
                <w:sz w:val="22"/>
              </w:rPr>
              <w:t>das Schlüssel-Schloss-Modell zur Erklärung des Wirkmechanismus von Hormonen anwenden (E6)</w:t>
            </w:r>
            <w:bookmarkEnd w:id="1"/>
            <w:r w:rsidR="00CD24E8" w:rsidRPr="00223BE8">
              <w:rPr>
                <w:rFonts w:cs="Arial"/>
                <w:color w:val="0070C0"/>
                <w:sz w:val="22"/>
              </w:rPr>
              <w:t>.</w:t>
            </w:r>
          </w:p>
        </w:tc>
        <w:tc>
          <w:tcPr>
            <w:tcW w:w="2148" w:type="pct"/>
            <w:shd w:val="clear" w:color="auto" w:fill="auto"/>
          </w:tcPr>
          <w:p w:rsidR="00BF17B6" w:rsidRDefault="007D1E70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 w:rsidRPr="00816258">
              <w:rPr>
                <w:rFonts w:ascii="Arial" w:hAnsi="Arial" w:cs="Arial"/>
              </w:rPr>
              <w:t xml:space="preserve">Betrachtung von Messwerten der </w:t>
            </w:r>
            <w:r w:rsidR="00CF7796">
              <w:rPr>
                <w:rFonts w:ascii="Arial" w:hAnsi="Arial" w:cs="Arial"/>
              </w:rPr>
              <w:t xml:space="preserve">Glukose- und der Insulinkonzentration im Blut nach Nahrungsaufnahme </w:t>
            </w:r>
            <w:r w:rsidRPr="00816258">
              <w:rPr>
                <w:rFonts w:ascii="Arial" w:hAnsi="Arial" w:cs="Arial"/>
              </w:rPr>
              <w:t>bei a) gesunder Person, b) Diabetes Typ I-Patient, b) Diabetes-Typ II-Patient</w:t>
            </w:r>
            <w:r w:rsidR="00422728">
              <w:rPr>
                <w:rFonts w:ascii="Arial" w:hAnsi="Arial" w:cs="Arial"/>
              </w:rPr>
              <w:t>: V</w:t>
            </w:r>
            <w:r w:rsidRPr="00816258">
              <w:rPr>
                <w:rFonts w:ascii="Arial" w:hAnsi="Arial" w:cs="Arial"/>
              </w:rPr>
              <w:t>ergleich und Versuch der Erklärung</w:t>
            </w:r>
          </w:p>
          <w:p w:rsidR="000553C9" w:rsidRDefault="00C44663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Arbeitsteilige Internetrecherche zu </w:t>
            </w:r>
            <w:r w:rsidR="00DC4214">
              <w:rPr>
                <w:rFonts w:ascii="Arial" w:hAnsi="Arial" w:cs="Arial"/>
              </w:rPr>
              <w:t>Ursachen</w:t>
            </w:r>
            <w:r>
              <w:rPr>
                <w:rFonts w:ascii="Arial" w:hAnsi="Arial" w:cs="Arial"/>
              </w:rPr>
              <w:t xml:space="preserve">, Auswirkungen und Symptomen </w:t>
            </w:r>
            <w:r w:rsidR="00DC4214">
              <w:rPr>
                <w:rFonts w:ascii="Arial" w:hAnsi="Arial" w:cs="Arial"/>
              </w:rPr>
              <w:t>bei Diabetes Typ I</w:t>
            </w:r>
            <w:r>
              <w:rPr>
                <w:rFonts w:ascii="Arial" w:hAnsi="Arial" w:cs="Arial"/>
              </w:rPr>
              <w:t xml:space="preserve"> (</w:t>
            </w:r>
            <w:r w:rsidR="00DC4214">
              <w:rPr>
                <w:rFonts w:ascii="Arial" w:hAnsi="Arial" w:cs="Arial"/>
              </w:rPr>
              <w:t>Autoimmunerkrankung</w:t>
            </w:r>
            <w:r>
              <w:rPr>
                <w:rFonts w:ascii="Arial" w:hAnsi="Arial" w:cs="Arial"/>
              </w:rPr>
              <w:t xml:space="preserve">, </w:t>
            </w:r>
            <w:r w:rsidR="00B8280B">
              <w:rPr>
                <w:rFonts w:ascii="Arial" w:hAnsi="Arial" w:cs="Arial"/>
              </w:rPr>
              <w:sym w:font="Wingdings 3" w:char="F066"/>
            </w:r>
            <w:r w:rsidR="00DC4214">
              <w:rPr>
                <w:rFonts w:ascii="Arial" w:hAnsi="Arial" w:cs="Arial"/>
              </w:rPr>
              <w:t xml:space="preserve"> Immunbiologie)</w:t>
            </w:r>
            <w:r>
              <w:rPr>
                <w:rFonts w:ascii="Arial" w:hAnsi="Arial" w:cs="Arial"/>
              </w:rPr>
              <w:t xml:space="preserve"> und Typ II</w:t>
            </w:r>
            <w:r w:rsidR="00FA223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sowie zu Therapien und </w:t>
            </w:r>
            <w:r w:rsidRPr="00052EA6">
              <w:rPr>
                <w:rFonts w:ascii="Arial" w:hAnsi="Arial" w:cs="Arial"/>
              </w:rPr>
              <w:t xml:space="preserve">präventiven Maßnahmen </w:t>
            </w:r>
            <w:r w:rsidR="00FA223F">
              <w:rPr>
                <w:rFonts w:ascii="Arial" w:hAnsi="Arial" w:cs="Arial"/>
              </w:rPr>
              <w:t>[</w:t>
            </w:r>
            <w:r w:rsidR="00211E16">
              <w:rPr>
                <w:rFonts w:ascii="Arial" w:hAnsi="Arial" w:cs="Arial"/>
              </w:rPr>
              <w:t>4, 5</w:t>
            </w:r>
            <w:r w:rsidR="000553C9">
              <w:rPr>
                <w:rFonts w:ascii="Arial" w:hAnsi="Arial" w:cs="Arial"/>
              </w:rPr>
              <w:t>]</w:t>
            </w:r>
          </w:p>
          <w:p w:rsidR="000568EE" w:rsidRPr="00223BE8" w:rsidRDefault="000553C9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0070C0"/>
              </w:rPr>
            </w:pPr>
            <w:r w:rsidRPr="00223BE8">
              <w:rPr>
                <w:rFonts w:ascii="Arial" w:hAnsi="Arial" w:cs="Arial"/>
                <w:color w:val="0070C0"/>
              </w:rPr>
              <w:t xml:space="preserve">Geschichte der Erforschung der Krankheit und ihrer </w:t>
            </w:r>
            <w:r w:rsidR="00211E16">
              <w:rPr>
                <w:rFonts w:ascii="Arial" w:hAnsi="Arial" w:cs="Arial"/>
                <w:color w:val="0070C0"/>
              </w:rPr>
              <w:t>Therapiemöglichkeiten [6</w:t>
            </w:r>
            <w:r w:rsidR="00FA223F" w:rsidRPr="00223BE8">
              <w:rPr>
                <w:rFonts w:ascii="Arial" w:hAnsi="Arial" w:cs="Arial"/>
                <w:color w:val="0070C0"/>
              </w:rPr>
              <w:t>]</w:t>
            </w:r>
          </w:p>
          <w:p w:rsidR="00D032B0" w:rsidRPr="00223BE8" w:rsidRDefault="00DD4C6D" w:rsidP="007D5BB3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ascii="Arial" w:hAnsi="Arial" w:cs="Arial"/>
                <w:color w:val="0070C0"/>
              </w:rPr>
            </w:pPr>
            <w:r w:rsidRPr="00223BE8">
              <w:rPr>
                <w:rFonts w:ascii="Arial" w:hAnsi="Arial" w:cs="Arial"/>
                <w:color w:val="0070C0"/>
              </w:rPr>
              <w:t xml:space="preserve">Fokus auf K1 und K3: </w:t>
            </w:r>
            <w:r w:rsidR="00196147" w:rsidRPr="00223BE8">
              <w:rPr>
                <w:rFonts w:ascii="Arial" w:hAnsi="Arial" w:cs="Arial"/>
                <w:color w:val="0070C0"/>
              </w:rPr>
              <w:t xml:space="preserve">Entwicklung eigener Modelle und Analogien ausgehend von einem allgemeinen Schaubild zur Ursache von Diabetes mellitus, welche die </w:t>
            </w:r>
            <w:r w:rsidR="00196147" w:rsidRPr="00223BE8">
              <w:rPr>
                <w:rFonts w:ascii="Arial" w:hAnsi="Arial" w:cs="Arial"/>
                <w:color w:val="0070C0"/>
              </w:rPr>
              <w:lastRenderedPageBreak/>
              <w:t>Unterscheidung zwischen Typ I und II veranschaulichen [</w:t>
            </w:r>
            <w:r w:rsidR="00211E16">
              <w:rPr>
                <w:rFonts w:ascii="Arial" w:hAnsi="Arial" w:cs="Arial"/>
                <w:color w:val="0070C0"/>
              </w:rPr>
              <w:t>7</w:t>
            </w:r>
            <w:r w:rsidR="00196147" w:rsidRPr="00223BE8">
              <w:rPr>
                <w:rFonts w:ascii="Arial" w:hAnsi="Arial" w:cs="Arial"/>
                <w:color w:val="0070C0"/>
              </w:rPr>
              <w:t>]</w:t>
            </w:r>
          </w:p>
          <w:p w:rsidR="008638CE" w:rsidRDefault="008638CE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color w:val="4F81BD" w:themeColor="accent1"/>
              </w:rPr>
            </w:pPr>
          </w:p>
          <w:p w:rsidR="00052EA6" w:rsidRPr="00F97890" w:rsidRDefault="00332E8C" w:rsidP="007D5BB3">
            <w:pPr>
              <w:spacing w:beforeLines="60" w:before="144" w:afterLines="60" w:after="144" w:line="240" w:lineRule="auto"/>
              <w:rPr>
                <w:rFonts w:ascii="Arial" w:hAnsi="Arial" w:cs="Arial"/>
                <w:i/>
              </w:rPr>
            </w:pPr>
            <w:r w:rsidRPr="00361DEE">
              <w:rPr>
                <w:rFonts w:ascii="Arial" w:hAnsi="Arial" w:cs="Arial"/>
                <w:bCs/>
                <w:i/>
                <w:iCs/>
              </w:rPr>
              <w:t xml:space="preserve">Kernaussage: </w:t>
            </w:r>
            <w:r w:rsidR="006238F9">
              <w:rPr>
                <w:rFonts w:ascii="Arial" w:hAnsi="Arial" w:cs="Arial"/>
                <w:bCs/>
                <w:i/>
                <w:iCs/>
              </w:rPr>
              <w:br/>
            </w:r>
            <w:r w:rsidR="0073464B">
              <w:rPr>
                <w:rFonts w:ascii="Arial" w:hAnsi="Arial" w:cs="Arial"/>
                <w:bCs/>
                <w:i/>
                <w:iCs/>
              </w:rPr>
              <w:t xml:space="preserve">Beiden Diabetestypen ist gemeinsam, dass </w:t>
            </w:r>
            <w:r w:rsidR="004E24CA">
              <w:rPr>
                <w:rFonts w:ascii="Arial" w:hAnsi="Arial" w:cs="Arial"/>
                <w:bCs/>
                <w:i/>
                <w:iCs/>
              </w:rPr>
              <w:t>die Blutzuckerkonzentration nach Nahrungsaufnahme hoch</w:t>
            </w:r>
            <w:r w:rsidR="00306FC1">
              <w:rPr>
                <w:rFonts w:ascii="Arial" w:hAnsi="Arial" w:cs="Arial"/>
                <w:bCs/>
                <w:i/>
                <w:iCs/>
              </w:rPr>
              <w:t xml:space="preserve"> bleibt</w:t>
            </w:r>
            <w:r w:rsidR="0073464B">
              <w:rPr>
                <w:rFonts w:ascii="Arial" w:hAnsi="Arial" w:cs="Arial"/>
                <w:bCs/>
                <w:i/>
                <w:iCs/>
              </w:rPr>
              <w:t xml:space="preserve">. Bei Diabetes Typ I liegt dies an </w:t>
            </w:r>
            <w:r w:rsidR="00350CF4">
              <w:rPr>
                <w:rFonts w:ascii="Arial" w:hAnsi="Arial" w:cs="Arial"/>
                <w:bCs/>
                <w:i/>
                <w:iCs/>
              </w:rPr>
              <w:t>einer Zerstörung der i</w:t>
            </w:r>
            <w:r w:rsidR="00306FC1">
              <w:rPr>
                <w:rFonts w:ascii="Arial" w:hAnsi="Arial" w:cs="Arial"/>
                <w:bCs/>
                <w:i/>
                <w:iCs/>
              </w:rPr>
              <w:t>nsulinproduzierenden Zellen</w:t>
            </w:r>
            <w:r w:rsidR="0073464B">
              <w:rPr>
                <w:rFonts w:ascii="Arial" w:hAnsi="Arial" w:cs="Arial"/>
                <w:bCs/>
                <w:i/>
                <w:iCs/>
              </w:rPr>
              <w:t>, bei Diabetes Typ II an einer erworbenen Unempfindlichkeit der Rezeptoren gegenüber dem Hormon Insulin</w:t>
            </w:r>
            <w:r w:rsidR="00DC4214">
              <w:rPr>
                <w:rFonts w:ascii="Arial" w:hAnsi="Arial" w:cs="Arial"/>
                <w:bCs/>
                <w:i/>
                <w:iCs/>
              </w:rPr>
              <w:t>.</w:t>
            </w:r>
            <w:r w:rsidR="00052EA6">
              <w:rPr>
                <w:rFonts w:ascii="Arial" w:hAnsi="Arial" w:cs="Arial"/>
                <w:bCs/>
                <w:i/>
                <w:iCs/>
              </w:rPr>
              <w:br/>
              <w:t xml:space="preserve">Der Entwicklung einer Diabetes Typ II lässt sich durch </w:t>
            </w:r>
            <w:r w:rsidR="00FA223F">
              <w:rPr>
                <w:rFonts w:ascii="Arial" w:hAnsi="Arial" w:cs="Arial"/>
                <w:bCs/>
                <w:i/>
                <w:iCs/>
              </w:rPr>
              <w:t>kalorienarme K</w:t>
            </w:r>
            <w:r w:rsidR="00052EA6">
              <w:rPr>
                <w:rFonts w:ascii="Arial" w:hAnsi="Arial" w:cs="Arial"/>
                <w:bCs/>
                <w:i/>
                <w:iCs/>
              </w:rPr>
              <w:t>ost</w:t>
            </w:r>
            <w:r w:rsidR="00C44663">
              <w:rPr>
                <w:rFonts w:ascii="Arial" w:hAnsi="Arial" w:cs="Arial"/>
                <w:bCs/>
                <w:i/>
                <w:iCs/>
              </w:rPr>
              <w:t xml:space="preserve">, Verzicht auf Nikotin </w:t>
            </w:r>
            <w:r w:rsidR="00052EA6">
              <w:rPr>
                <w:rFonts w:ascii="Arial" w:hAnsi="Arial" w:cs="Arial"/>
                <w:bCs/>
                <w:i/>
                <w:iCs/>
              </w:rPr>
              <w:t>sowie ausreichend Bewegung vorbeugen.</w:t>
            </w:r>
          </w:p>
        </w:tc>
      </w:tr>
    </w:tbl>
    <w:p w:rsidR="008638CE" w:rsidRDefault="008638CE" w:rsidP="00A43DDD">
      <w:pPr>
        <w:rPr>
          <w:rFonts w:ascii="Arial" w:hAnsi="Arial" w:cs="Arial"/>
          <w:b/>
        </w:rPr>
      </w:pPr>
    </w:p>
    <w:p w:rsidR="008638CE" w:rsidRDefault="008638CE" w:rsidP="00A43DDD">
      <w:pPr>
        <w:rPr>
          <w:rFonts w:ascii="Arial" w:hAnsi="Arial" w:cs="Arial"/>
          <w:b/>
        </w:rPr>
      </w:pPr>
    </w:p>
    <w:p w:rsidR="008638CE" w:rsidRDefault="008638CE" w:rsidP="00A43DDD">
      <w:pPr>
        <w:rPr>
          <w:rFonts w:ascii="Arial" w:hAnsi="Arial" w:cs="Arial"/>
          <w:b/>
        </w:rPr>
      </w:pPr>
    </w:p>
    <w:p w:rsidR="008638CE" w:rsidRDefault="008638CE" w:rsidP="00A43DDD">
      <w:pPr>
        <w:rPr>
          <w:rFonts w:ascii="Arial" w:hAnsi="Arial" w:cs="Arial"/>
          <w:b/>
        </w:rPr>
      </w:pPr>
    </w:p>
    <w:p w:rsidR="008638CE" w:rsidRDefault="008638CE" w:rsidP="00A43DDD">
      <w:pPr>
        <w:rPr>
          <w:rFonts w:ascii="Arial" w:hAnsi="Arial" w:cs="Arial"/>
          <w:b/>
        </w:rPr>
      </w:pPr>
    </w:p>
    <w:p w:rsidR="008638CE" w:rsidRDefault="008638CE" w:rsidP="00A43DDD">
      <w:pPr>
        <w:rPr>
          <w:rFonts w:ascii="Arial" w:hAnsi="Arial" w:cs="Arial"/>
          <w:b/>
        </w:rPr>
      </w:pPr>
    </w:p>
    <w:p w:rsidR="008638CE" w:rsidRDefault="008638CE" w:rsidP="00A43DDD">
      <w:pPr>
        <w:rPr>
          <w:rFonts w:ascii="Arial" w:hAnsi="Arial" w:cs="Arial"/>
          <w:b/>
        </w:rPr>
      </w:pPr>
    </w:p>
    <w:p w:rsidR="00315B46" w:rsidRPr="0075229B" w:rsidRDefault="00A43DDD" w:rsidP="00A43DDD">
      <w:pPr>
        <w:rPr>
          <w:rFonts w:ascii="Arial" w:hAnsi="Arial" w:cs="Arial"/>
          <w:b/>
        </w:rPr>
      </w:pPr>
      <w:r w:rsidRPr="0075229B">
        <w:rPr>
          <w:rFonts w:ascii="Arial" w:hAnsi="Arial" w:cs="Arial"/>
          <w:b/>
        </w:rPr>
        <w:br w:type="page"/>
      </w:r>
    </w:p>
    <w:p w:rsidR="0075229B" w:rsidRPr="0075229B" w:rsidRDefault="0075229B" w:rsidP="0075229B">
      <w:pPr>
        <w:rPr>
          <w:rFonts w:ascii="Arial" w:hAnsi="Arial" w:cs="Arial"/>
          <w:b/>
        </w:rPr>
      </w:pPr>
    </w:p>
    <w:p w:rsidR="0075229B" w:rsidRPr="0075229B" w:rsidRDefault="0075229B" w:rsidP="0075229B">
      <w:pPr>
        <w:rPr>
          <w:rFonts w:ascii="Arial" w:hAnsi="Arial" w:cs="Arial"/>
          <w:b/>
        </w:rPr>
      </w:pPr>
      <w:r w:rsidRPr="0075229B">
        <w:rPr>
          <w:rFonts w:ascii="Arial" w:hAnsi="Arial" w:cs="Arial"/>
          <w:b/>
        </w:rPr>
        <w:t>Weiterführende Materialien: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0"/>
        <w:gridCol w:w="6530"/>
        <w:gridCol w:w="7343"/>
      </w:tblGrid>
      <w:tr w:rsidR="0075229B" w:rsidRPr="00B56F09" w:rsidTr="00AD41CE">
        <w:trPr>
          <w:trHeight w:val="254"/>
        </w:trPr>
        <w:tc>
          <w:tcPr>
            <w:tcW w:w="870" w:type="dxa"/>
            <w:shd w:val="clear" w:color="auto" w:fill="BFBFBF" w:themeFill="background1" w:themeFillShade="BF"/>
          </w:tcPr>
          <w:p w:rsidR="0075229B" w:rsidRPr="008638CE" w:rsidRDefault="0075229B" w:rsidP="00975C73">
            <w:pPr>
              <w:spacing w:before="60" w:after="60" w:line="240" w:lineRule="auto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8638CE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6530" w:type="dxa"/>
            <w:shd w:val="clear" w:color="auto" w:fill="BFBFBF" w:themeFill="background1" w:themeFillShade="BF"/>
          </w:tcPr>
          <w:p w:rsidR="0075229B" w:rsidRPr="008638CE" w:rsidRDefault="0075229B" w:rsidP="00975C7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38CE">
              <w:rPr>
                <w:rFonts w:ascii="Arial" w:hAnsi="Arial" w:cs="Arial"/>
                <w:b/>
                <w:sz w:val="20"/>
                <w:szCs w:val="20"/>
              </w:rPr>
              <w:t>URL / Quellenangabe</w:t>
            </w:r>
          </w:p>
        </w:tc>
        <w:tc>
          <w:tcPr>
            <w:tcW w:w="7343" w:type="dxa"/>
            <w:shd w:val="clear" w:color="auto" w:fill="BFBFBF" w:themeFill="background1" w:themeFillShade="BF"/>
          </w:tcPr>
          <w:p w:rsidR="0075229B" w:rsidRPr="008638CE" w:rsidRDefault="0075229B" w:rsidP="00975C7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38CE">
              <w:rPr>
                <w:rFonts w:ascii="Arial" w:hAnsi="Arial" w:cs="Arial"/>
                <w:b/>
                <w:sz w:val="20"/>
                <w:szCs w:val="20"/>
              </w:rPr>
              <w:t>Kurzbeschreibung des Inhalts / der Quelle</w:t>
            </w:r>
          </w:p>
        </w:tc>
      </w:tr>
      <w:tr w:rsidR="0075229B" w:rsidRPr="00B56F09" w:rsidTr="00AD41CE">
        <w:trPr>
          <w:trHeight w:val="254"/>
        </w:trPr>
        <w:tc>
          <w:tcPr>
            <w:tcW w:w="870" w:type="dxa"/>
            <w:vAlign w:val="center"/>
          </w:tcPr>
          <w:p w:rsidR="00B56F09" w:rsidRPr="00C1446A" w:rsidRDefault="00B56F09" w:rsidP="00B56F09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C144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0" w:type="dxa"/>
            <w:vAlign w:val="center"/>
          </w:tcPr>
          <w:p w:rsidR="0075229B" w:rsidRPr="00C1446A" w:rsidRDefault="004E6D56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1446A" w:rsidRPr="00C1446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https://www.schulentwicklung.nrw.de/materialdatenbank/material/view/5850</w:t>
              </w:r>
            </w:hyperlink>
          </w:p>
        </w:tc>
        <w:tc>
          <w:tcPr>
            <w:tcW w:w="7343" w:type="dxa"/>
            <w:vAlign w:val="center"/>
          </w:tcPr>
          <w:p w:rsidR="0075229B" w:rsidRPr="00C1446A" w:rsidRDefault="0075229B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446A">
              <w:rPr>
                <w:rFonts w:ascii="Arial" w:hAnsi="Arial" w:cs="Arial"/>
                <w:sz w:val="20"/>
                <w:szCs w:val="20"/>
              </w:rPr>
              <w:t xml:space="preserve">Beispiel für einen </w:t>
            </w:r>
            <w:proofErr w:type="spellStart"/>
            <w:r w:rsidRPr="00C1446A">
              <w:rPr>
                <w:rFonts w:ascii="Arial" w:hAnsi="Arial" w:cs="Arial"/>
                <w:sz w:val="20"/>
                <w:szCs w:val="20"/>
              </w:rPr>
              <w:t>Advance</w:t>
            </w:r>
            <w:proofErr w:type="spellEnd"/>
            <w:r w:rsidRPr="00C1446A">
              <w:rPr>
                <w:rFonts w:ascii="Arial" w:hAnsi="Arial" w:cs="Arial"/>
                <w:sz w:val="20"/>
                <w:szCs w:val="20"/>
              </w:rPr>
              <w:t xml:space="preserve"> Organizer zum Thema Diabetes</w:t>
            </w:r>
          </w:p>
        </w:tc>
      </w:tr>
      <w:tr w:rsidR="007D5BB3" w:rsidRPr="00B56F09" w:rsidTr="00AD41CE">
        <w:trPr>
          <w:trHeight w:val="254"/>
        </w:trPr>
        <w:tc>
          <w:tcPr>
            <w:tcW w:w="870" w:type="dxa"/>
            <w:vAlign w:val="center"/>
          </w:tcPr>
          <w:p w:rsidR="007D5BB3" w:rsidRPr="0045150B" w:rsidRDefault="007D5BB3" w:rsidP="00975C73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1E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0" w:type="dxa"/>
            <w:vAlign w:val="center"/>
          </w:tcPr>
          <w:p w:rsidR="007D5BB3" w:rsidRPr="00211E16" w:rsidRDefault="004E6D56" w:rsidP="001B25A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11E16" w:rsidRPr="00211E1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http://physiologie.cc/Glukosekurven.jpg</w:t>
              </w:r>
            </w:hyperlink>
            <w:r w:rsidR="00211E1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211E16" w:rsidRPr="00211E1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https://www.med4you.at/laborbefunde/lbef2/ogtt.gif</w:t>
              </w:r>
            </w:hyperlink>
            <w:r w:rsidR="00211E16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1" w:history="1">
              <w:r w:rsidR="00211E16" w:rsidRPr="00211E1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https://www.apotheken-umschau.de/multimedia/113/143/101/92995182609.jpg</w:t>
              </w:r>
            </w:hyperlink>
          </w:p>
        </w:tc>
        <w:tc>
          <w:tcPr>
            <w:tcW w:w="7343" w:type="dxa"/>
            <w:vAlign w:val="center"/>
          </w:tcPr>
          <w:p w:rsidR="007D5BB3" w:rsidRPr="00211E16" w:rsidRDefault="00211E16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Abbildungen</w:t>
            </w:r>
            <w:r w:rsidR="007D5BB3" w:rsidRPr="00211E16">
              <w:rPr>
                <w:rFonts w:ascii="Arial" w:hAnsi="Arial" w:cs="Arial"/>
                <w:sz w:val="20"/>
                <w:szCs w:val="20"/>
              </w:rPr>
              <w:t>: „Blutzuckerwerte nach Nahrungsaufnahme bei Gesunden“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D5BB3" w:rsidRPr="00211E16" w:rsidRDefault="00211E16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 j</w:t>
            </w:r>
            <w:r w:rsidR="007D5BB3" w:rsidRPr="00211E16">
              <w:rPr>
                <w:rFonts w:ascii="Arial" w:hAnsi="Arial" w:cs="Arial"/>
                <w:sz w:val="20"/>
                <w:szCs w:val="20"/>
              </w:rPr>
              <w:t>eweils die Kurve für Diabetes bzw. zuckerkrank abdecken</w:t>
            </w:r>
          </w:p>
        </w:tc>
      </w:tr>
      <w:tr w:rsidR="007D5BB3" w:rsidRPr="00B56F09" w:rsidTr="00AD41CE">
        <w:trPr>
          <w:trHeight w:val="254"/>
        </w:trPr>
        <w:tc>
          <w:tcPr>
            <w:tcW w:w="870" w:type="dxa"/>
            <w:vAlign w:val="center"/>
          </w:tcPr>
          <w:p w:rsidR="007D5BB3" w:rsidRPr="008638CE" w:rsidRDefault="007D5BB3" w:rsidP="00975C73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8638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0" w:type="dxa"/>
            <w:vAlign w:val="center"/>
          </w:tcPr>
          <w:p w:rsidR="007D5BB3" w:rsidRPr="007D5BB3" w:rsidRDefault="004E6D56" w:rsidP="001B25A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D41CE" w:rsidRPr="00AD41C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https://www.schulentwicklung.nrw.de/materialdatenbank/material/view/5846</w:t>
              </w:r>
            </w:hyperlink>
          </w:p>
        </w:tc>
        <w:tc>
          <w:tcPr>
            <w:tcW w:w="7343" w:type="dxa"/>
            <w:vAlign w:val="center"/>
          </w:tcPr>
          <w:p w:rsidR="007D5BB3" w:rsidRPr="008638CE" w:rsidRDefault="007D5BB3" w:rsidP="00AD41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Lernaufgabe</w:t>
            </w:r>
            <w:r w:rsidRPr="008638CE">
              <w:rPr>
                <w:rFonts w:ascii="Arial" w:hAnsi="Arial" w:cs="Arial"/>
                <w:sz w:val="20"/>
                <w:szCs w:val="20"/>
              </w:rPr>
              <w:t xml:space="preserve"> „Reg</w:t>
            </w:r>
            <w:r w:rsidR="00AD41CE">
              <w:rPr>
                <w:rFonts w:ascii="Arial" w:hAnsi="Arial" w:cs="Arial"/>
                <w:sz w:val="20"/>
                <w:szCs w:val="20"/>
              </w:rPr>
              <w:t>ulation des Blutzuckergehalts“ (Projekt SINUS NRW)</w:t>
            </w:r>
          </w:p>
        </w:tc>
      </w:tr>
      <w:tr w:rsidR="007D5BB3" w:rsidRPr="008F16F7" w:rsidTr="00AD41CE">
        <w:trPr>
          <w:trHeight w:val="254"/>
        </w:trPr>
        <w:tc>
          <w:tcPr>
            <w:tcW w:w="870" w:type="dxa"/>
            <w:vAlign w:val="center"/>
          </w:tcPr>
          <w:p w:rsidR="007D5BB3" w:rsidRPr="008638CE" w:rsidRDefault="00211E16" w:rsidP="00975C73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0" w:type="dxa"/>
            <w:vAlign w:val="center"/>
          </w:tcPr>
          <w:p w:rsidR="007D5BB3" w:rsidRPr="008638CE" w:rsidRDefault="004E6D56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D5BB3" w:rsidRPr="008638C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https://www.wdr.de/tv/applications/fernsehen/wissen/quarks/pdf/zucker.pdf</w:t>
              </w:r>
            </w:hyperlink>
          </w:p>
        </w:tc>
        <w:tc>
          <w:tcPr>
            <w:tcW w:w="7343" w:type="dxa"/>
            <w:vAlign w:val="center"/>
          </w:tcPr>
          <w:p w:rsidR="007D5BB3" w:rsidRPr="008638CE" w:rsidRDefault="007D5BB3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CE">
              <w:rPr>
                <w:rFonts w:ascii="Arial" w:hAnsi="Arial" w:cs="Arial"/>
                <w:sz w:val="20"/>
                <w:szCs w:val="20"/>
              </w:rPr>
              <w:t>Frage-Antwort-Katalog rund um das Thema Diabetes, erarbeitet von der Redaktion der Sendung Quarks &amp; Co.</w:t>
            </w:r>
          </w:p>
        </w:tc>
      </w:tr>
      <w:tr w:rsidR="007D5BB3" w:rsidRPr="008F16F7" w:rsidTr="00AD41CE">
        <w:trPr>
          <w:trHeight w:val="254"/>
        </w:trPr>
        <w:tc>
          <w:tcPr>
            <w:tcW w:w="870" w:type="dxa"/>
            <w:vAlign w:val="center"/>
          </w:tcPr>
          <w:p w:rsidR="007D5BB3" w:rsidRPr="008638CE" w:rsidRDefault="00211E16" w:rsidP="00975C73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0" w:type="dxa"/>
            <w:vAlign w:val="center"/>
          </w:tcPr>
          <w:p w:rsidR="007D5BB3" w:rsidRPr="008638CE" w:rsidRDefault="004E6D56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D5BB3" w:rsidRPr="008638C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https://www.planet-schule.de/wissenspool/meilensteine-der-naturwissenschaft-und-technik/inhalt/links-literatur/medizin/frederick-banting-charles-best-und-das-insulin.html</w:t>
              </w:r>
            </w:hyperlink>
          </w:p>
        </w:tc>
        <w:tc>
          <w:tcPr>
            <w:tcW w:w="7343" w:type="dxa"/>
            <w:vAlign w:val="center"/>
          </w:tcPr>
          <w:p w:rsidR="007D5BB3" w:rsidRPr="008638CE" w:rsidRDefault="007D5BB3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8638CE">
              <w:rPr>
                <w:rFonts w:ascii="Arial" w:hAnsi="Arial" w:cs="Arial"/>
                <w:sz w:val="20"/>
                <w:szCs w:val="20"/>
              </w:rPr>
              <w:t>Wissenswertes, Links und Literaturempfehlungen rund um das Thema Diabetes</w:t>
            </w:r>
          </w:p>
        </w:tc>
      </w:tr>
      <w:tr w:rsidR="007D5BB3" w:rsidRPr="00B56F09" w:rsidTr="00AD41CE">
        <w:trPr>
          <w:trHeight w:val="254"/>
        </w:trPr>
        <w:tc>
          <w:tcPr>
            <w:tcW w:w="870" w:type="dxa"/>
            <w:vAlign w:val="center"/>
          </w:tcPr>
          <w:p w:rsidR="007D5BB3" w:rsidRPr="008638CE" w:rsidRDefault="00211E16" w:rsidP="00975C73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30" w:type="dxa"/>
            <w:vAlign w:val="center"/>
          </w:tcPr>
          <w:p w:rsidR="007D5BB3" w:rsidRPr="00062333" w:rsidRDefault="004E6D56" w:rsidP="00975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15" w:history="1">
              <w:r w:rsidR="007D5BB3" w:rsidRPr="007D5BB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https://www.br.de/fernsehen/ard-alpha/sendungen/schulfernsehen/meilensteine-insulin102.html</w:t>
              </w:r>
            </w:hyperlink>
          </w:p>
        </w:tc>
        <w:tc>
          <w:tcPr>
            <w:tcW w:w="7343" w:type="dxa"/>
            <w:vAlign w:val="center"/>
          </w:tcPr>
          <w:p w:rsidR="007D5BB3" w:rsidRPr="008638CE" w:rsidRDefault="007D5BB3" w:rsidP="00EB6DCE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38CE">
              <w:rPr>
                <w:rFonts w:ascii="Arial" w:hAnsi="Arial" w:cs="Arial"/>
                <w:bCs/>
                <w:sz w:val="20"/>
                <w:szCs w:val="20"/>
              </w:rPr>
              <w:t xml:space="preserve">Der ca. 15minütige Film aus der Reihe „Meilensteine der Naturwissenschaft und Technik“ thematisiert Diabetes Typ I als Todesurteil bis in die 1920er Jahre. </w:t>
            </w:r>
            <w:r w:rsidR="00211E1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8638CE">
              <w:rPr>
                <w:rFonts w:ascii="Arial" w:hAnsi="Arial" w:cs="Arial"/>
                <w:bCs/>
                <w:sz w:val="20"/>
                <w:szCs w:val="20"/>
              </w:rPr>
              <w:t xml:space="preserve">Er zeichnet die Erforschung der Krankheit und die Entwicklung zur technischen Gewinnung von Insulin als Medikament nach. </w:t>
            </w:r>
          </w:p>
        </w:tc>
      </w:tr>
      <w:tr w:rsidR="007D5BB3" w:rsidRPr="00B56F09" w:rsidTr="00AD41CE">
        <w:trPr>
          <w:trHeight w:val="254"/>
        </w:trPr>
        <w:tc>
          <w:tcPr>
            <w:tcW w:w="870" w:type="dxa"/>
            <w:vAlign w:val="center"/>
          </w:tcPr>
          <w:p w:rsidR="007D5BB3" w:rsidRPr="008638CE" w:rsidRDefault="00211E16" w:rsidP="00975C73">
            <w:pPr>
              <w:spacing w:before="60" w:after="60" w:line="240" w:lineRule="auto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30" w:type="dxa"/>
            <w:vAlign w:val="center"/>
          </w:tcPr>
          <w:p w:rsidR="007D5BB3" w:rsidRPr="007D5BB3" w:rsidRDefault="004E6D56" w:rsidP="007D5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D41CE" w:rsidRPr="00AD41C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https://www.schulentwicklung.nrw.de/materialdatenbank/material/view/5846</w:t>
              </w:r>
            </w:hyperlink>
          </w:p>
        </w:tc>
        <w:tc>
          <w:tcPr>
            <w:tcW w:w="7343" w:type="dxa"/>
            <w:vAlign w:val="center"/>
          </w:tcPr>
          <w:p w:rsidR="007D5BB3" w:rsidRPr="008638CE" w:rsidRDefault="007D5BB3" w:rsidP="00AD41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Lernaufgabe</w:t>
            </w:r>
            <w:r w:rsidRPr="008638CE">
              <w:rPr>
                <w:rFonts w:ascii="Arial" w:hAnsi="Arial" w:cs="Arial"/>
                <w:sz w:val="20"/>
                <w:szCs w:val="20"/>
              </w:rPr>
              <w:t xml:space="preserve"> „Diabetes“</w:t>
            </w:r>
            <w:r w:rsidR="00AD41CE">
              <w:rPr>
                <w:rFonts w:ascii="Arial" w:hAnsi="Arial" w:cs="Arial"/>
                <w:sz w:val="20"/>
                <w:szCs w:val="20"/>
              </w:rPr>
              <w:t xml:space="preserve"> (Projekt SINUS NRW)</w:t>
            </w:r>
            <w:r w:rsidRPr="008638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B6BA3" w:rsidRDefault="00AB6BA3" w:rsidP="00AB6BA3">
      <w:pPr>
        <w:rPr>
          <w:rFonts w:ascii="Arial" w:hAnsi="Arial" w:cs="Arial"/>
          <w:sz w:val="20"/>
          <w:szCs w:val="20"/>
        </w:rPr>
      </w:pPr>
    </w:p>
    <w:p w:rsidR="008F16F7" w:rsidRPr="007B0583" w:rsidRDefault="00AB6BA3">
      <w:pPr>
        <w:rPr>
          <w:rFonts w:ascii="Arial" w:hAnsi="Arial" w:cs="Arial"/>
          <w:sz w:val="20"/>
          <w:szCs w:val="20"/>
        </w:rPr>
      </w:pPr>
      <w:r w:rsidRPr="00246F0F">
        <w:rPr>
          <w:rFonts w:ascii="Arial" w:hAnsi="Arial" w:cs="Arial"/>
          <w:sz w:val="20"/>
          <w:szCs w:val="20"/>
        </w:rPr>
        <w:t xml:space="preserve">Letzter Zugriff auf die URL: </w:t>
      </w:r>
      <w:r w:rsidR="0045420F">
        <w:rPr>
          <w:rFonts w:ascii="Arial" w:hAnsi="Arial" w:cs="Arial"/>
          <w:sz w:val="20"/>
          <w:szCs w:val="20"/>
        </w:rPr>
        <w:t>29.09</w:t>
      </w:r>
      <w:r w:rsidR="00265AF8">
        <w:rPr>
          <w:rFonts w:ascii="Arial" w:hAnsi="Arial" w:cs="Arial"/>
          <w:sz w:val="20"/>
          <w:szCs w:val="20"/>
        </w:rPr>
        <w:t>.</w:t>
      </w:r>
      <w:r w:rsidR="0045420F">
        <w:rPr>
          <w:rFonts w:ascii="Arial" w:hAnsi="Arial" w:cs="Arial"/>
          <w:sz w:val="20"/>
          <w:szCs w:val="20"/>
        </w:rPr>
        <w:t>2020</w:t>
      </w:r>
      <w:bookmarkStart w:id="2" w:name="_GoBack"/>
      <w:bookmarkEnd w:id="2"/>
    </w:p>
    <w:sectPr w:rsidR="008F16F7" w:rsidRPr="007B0583" w:rsidSect="008638CE">
      <w:footerReference w:type="default" r:id="rId17"/>
      <w:pgSz w:w="16838" w:h="11906" w:orient="landscape" w:code="9"/>
      <w:pgMar w:top="426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56" w:rsidRDefault="004E6D56" w:rsidP="001A020B">
      <w:pPr>
        <w:spacing w:after="0" w:line="240" w:lineRule="auto"/>
      </w:pPr>
      <w:r>
        <w:separator/>
      </w:r>
    </w:p>
  </w:endnote>
  <w:endnote w:type="continuationSeparator" w:id="0">
    <w:p w:rsidR="004E6D56" w:rsidRDefault="004E6D56" w:rsidP="001A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'Arial Narrow'">
    <w:altName w:val="Arial"/>
    <w:charset w:val="00"/>
    <w:family w:val="swiss"/>
    <w:pitch w:val="default"/>
  </w:font>
  <w:font w:name="Droid Sans Fallback">
    <w:altName w:val="Times New Roman"/>
    <w:charset w:val="01"/>
    <w:family w:val="auto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807411"/>
      <w:docPartObj>
        <w:docPartGallery w:val="Page Numbers (Bottom of Page)"/>
        <w:docPartUnique/>
      </w:docPartObj>
    </w:sdtPr>
    <w:sdtEndPr/>
    <w:sdtContent>
      <w:p w:rsidR="00975C73" w:rsidRDefault="007B5691">
        <w:pPr>
          <w:pStyle w:val="Fuzeile"/>
          <w:jc w:val="center"/>
        </w:pPr>
        <w:r>
          <w:fldChar w:fldCharType="begin"/>
        </w:r>
        <w:r w:rsidR="00975C73">
          <w:instrText>PAGE   \* MERGEFORMAT</w:instrText>
        </w:r>
        <w:r>
          <w:fldChar w:fldCharType="separate"/>
        </w:r>
        <w:r w:rsidR="0045420F">
          <w:rPr>
            <w:noProof/>
          </w:rPr>
          <w:t>4</w:t>
        </w:r>
        <w:r>
          <w:fldChar w:fldCharType="end"/>
        </w:r>
      </w:p>
    </w:sdtContent>
  </w:sdt>
  <w:p w:rsidR="00975C73" w:rsidRDefault="00975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56" w:rsidRDefault="004E6D56" w:rsidP="001A020B">
      <w:pPr>
        <w:spacing w:after="0" w:line="240" w:lineRule="auto"/>
      </w:pPr>
      <w:r>
        <w:separator/>
      </w:r>
    </w:p>
  </w:footnote>
  <w:footnote w:type="continuationSeparator" w:id="0">
    <w:p w:rsidR="004E6D56" w:rsidRDefault="004E6D56" w:rsidP="001A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412"/>
    <w:multiLevelType w:val="hybridMultilevel"/>
    <w:tmpl w:val="C25E2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352"/>
    <w:multiLevelType w:val="hybridMultilevel"/>
    <w:tmpl w:val="FAD2EE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26FA4"/>
    <w:multiLevelType w:val="hybridMultilevel"/>
    <w:tmpl w:val="793EC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E5D"/>
    <w:multiLevelType w:val="hybridMultilevel"/>
    <w:tmpl w:val="DBEEE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37A44"/>
    <w:multiLevelType w:val="hybridMultilevel"/>
    <w:tmpl w:val="AB2AF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091D"/>
    <w:multiLevelType w:val="hybridMultilevel"/>
    <w:tmpl w:val="AC26D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70DB"/>
    <w:multiLevelType w:val="hybridMultilevel"/>
    <w:tmpl w:val="7D106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733DCE"/>
    <w:multiLevelType w:val="hybridMultilevel"/>
    <w:tmpl w:val="7924E092"/>
    <w:lvl w:ilvl="0" w:tplc="0407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0" w15:restartNumberingAfterBreak="0">
    <w:nsid w:val="241B6378"/>
    <w:multiLevelType w:val="hybridMultilevel"/>
    <w:tmpl w:val="98547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F302C"/>
    <w:multiLevelType w:val="hybridMultilevel"/>
    <w:tmpl w:val="8D7086AE"/>
    <w:lvl w:ilvl="0" w:tplc="BD4A4200">
      <w:start w:val="1"/>
      <w:numFmt w:val="bullet"/>
      <w:lvlText w:val="-"/>
      <w:lvlJc w:val="left"/>
      <w:pPr>
        <w:ind w:left="48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31A25190"/>
    <w:multiLevelType w:val="hybridMultilevel"/>
    <w:tmpl w:val="AE687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5719"/>
    <w:multiLevelType w:val="hybridMultilevel"/>
    <w:tmpl w:val="B750F0CE"/>
    <w:lvl w:ilvl="0" w:tplc="9E56E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94A"/>
    <w:multiLevelType w:val="hybridMultilevel"/>
    <w:tmpl w:val="32369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C2753"/>
    <w:multiLevelType w:val="hybridMultilevel"/>
    <w:tmpl w:val="42587C96"/>
    <w:lvl w:ilvl="0" w:tplc="0407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8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04632"/>
    <w:multiLevelType w:val="hybridMultilevel"/>
    <w:tmpl w:val="6B005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3733F"/>
    <w:multiLevelType w:val="hybridMultilevel"/>
    <w:tmpl w:val="389E5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5"/>
  </w:num>
  <w:num w:numId="5">
    <w:abstractNumId w:val="18"/>
  </w:num>
  <w:num w:numId="6">
    <w:abstractNumId w:val="1"/>
  </w:num>
  <w:num w:numId="7">
    <w:abstractNumId w:val="21"/>
  </w:num>
  <w:num w:numId="8">
    <w:abstractNumId w:val="4"/>
  </w:num>
  <w:num w:numId="9">
    <w:abstractNumId w:val="13"/>
  </w:num>
  <w:num w:numId="10">
    <w:abstractNumId w:val="5"/>
  </w:num>
  <w:num w:numId="11">
    <w:abstractNumId w:val="19"/>
  </w:num>
  <w:num w:numId="12">
    <w:abstractNumId w:val="8"/>
  </w:num>
  <w:num w:numId="13">
    <w:abstractNumId w:val="12"/>
  </w:num>
  <w:num w:numId="14">
    <w:abstractNumId w:val="17"/>
  </w:num>
  <w:num w:numId="15">
    <w:abstractNumId w:val="3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20"/>
  </w:num>
  <w:num w:numId="21">
    <w:abstractNumId w:val="6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AA"/>
    <w:rsid w:val="0000746E"/>
    <w:rsid w:val="00012462"/>
    <w:rsid w:val="00016BF6"/>
    <w:rsid w:val="00052EA6"/>
    <w:rsid w:val="000553C9"/>
    <w:rsid w:val="000568EE"/>
    <w:rsid w:val="00062333"/>
    <w:rsid w:val="00066317"/>
    <w:rsid w:val="00070C62"/>
    <w:rsid w:val="000715EB"/>
    <w:rsid w:val="00080E52"/>
    <w:rsid w:val="00080FB9"/>
    <w:rsid w:val="000826E2"/>
    <w:rsid w:val="0008765D"/>
    <w:rsid w:val="0009489C"/>
    <w:rsid w:val="000A73AC"/>
    <w:rsid w:val="000B1F0E"/>
    <w:rsid w:val="000B46A9"/>
    <w:rsid w:val="000D356A"/>
    <w:rsid w:val="000D472F"/>
    <w:rsid w:val="000D4D36"/>
    <w:rsid w:val="000D7CE8"/>
    <w:rsid w:val="000E4FD9"/>
    <w:rsid w:val="000F03DC"/>
    <w:rsid w:val="000F1B36"/>
    <w:rsid w:val="000F218B"/>
    <w:rsid w:val="000F69B6"/>
    <w:rsid w:val="00102F33"/>
    <w:rsid w:val="001226C4"/>
    <w:rsid w:val="00126A94"/>
    <w:rsid w:val="00137663"/>
    <w:rsid w:val="001455F5"/>
    <w:rsid w:val="00152E72"/>
    <w:rsid w:val="001641C2"/>
    <w:rsid w:val="00193D36"/>
    <w:rsid w:val="00195572"/>
    <w:rsid w:val="00196147"/>
    <w:rsid w:val="001962BC"/>
    <w:rsid w:val="001A020B"/>
    <w:rsid w:val="001A0954"/>
    <w:rsid w:val="001A2A67"/>
    <w:rsid w:val="001A7452"/>
    <w:rsid w:val="001B131F"/>
    <w:rsid w:val="001B30B6"/>
    <w:rsid w:val="001B3CB9"/>
    <w:rsid w:val="001C43B0"/>
    <w:rsid w:val="001D54EB"/>
    <w:rsid w:val="001E4FE1"/>
    <w:rsid w:val="001E5284"/>
    <w:rsid w:val="001E6FE4"/>
    <w:rsid w:val="001F7508"/>
    <w:rsid w:val="00211E16"/>
    <w:rsid w:val="00213DC1"/>
    <w:rsid w:val="00217ABC"/>
    <w:rsid w:val="002217A5"/>
    <w:rsid w:val="00222810"/>
    <w:rsid w:val="002239AE"/>
    <w:rsid w:val="00223BE8"/>
    <w:rsid w:val="00233518"/>
    <w:rsid w:val="002435CD"/>
    <w:rsid w:val="00246242"/>
    <w:rsid w:val="002522D8"/>
    <w:rsid w:val="002564C6"/>
    <w:rsid w:val="00265AF8"/>
    <w:rsid w:val="00276CC2"/>
    <w:rsid w:val="002816B1"/>
    <w:rsid w:val="00285462"/>
    <w:rsid w:val="00292553"/>
    <w:rsid w:val="002A6BA4"/>
    <w:rsid w:val="002A7F44"/>
    <w:rsid w:val="002B0448"/>
    <w:rsid w:val="002B6729"/>
    <w:rsid w:val="002C1308"/>
    <w:rsid w:val="002D3691"/>
    <w:rsid w:val="002D4719"/>
    <w:rsid w:val="002E5409"/>
    <w:rsid w:val="002F3BED"/>
    <w:rsid w:val="00306FC1"/>
    <w:rsid w:val="003110C9"/>
    <w:rsid w:val="00315B46"/>
    <w:rsid w:val="00316E27"/>
    <w:rsid w:val="00322115"/>
    <w:rsid w:val="00330EF2"/>
    <w:rsid w:val="00332E8C"/>
    <w:rsid w:val="003348A8"/>
    <w:rsid w:val="003456EF"/>
    <w:rsid w:val="00347C5B"/>
    <w:rsid w:val="00350CF4"/>
    <w:rsid w:val="00361DEE"/>
    <w:rsid w:val="003628B0"/>
    <w:rsid w:val="00367E9E"/>
    <w:rsid w:val="00372D0F"/>
    <w:rsid w:val="0037650C"/>
    <w:rsid w:val="00380904"/>
    <w:rsid w:val="00380A74"/>
    <w:rsid w:val="00381CD7"/>
    <w:rsid w:val="00384EFF"/>
    <w:rsid w:val="00391BD4"/>
    <w:rsid w:val="003A4907"/>
    <w:rsid w:val="003B0979"/>
    <w:rsid w:val="003B5903"/>
    <w:rsid w:val="003C05E4"/>
    <w:rsid w:val="003C215B"/>
    <w:rsid w:val="003D6CB5"/>
    <w:rsid w:val="003E4E75"/>
    <w:rsid w:val="003E5AA7"/>
    <w:rsid w:val="003E5AAA"/>
    <w:rsid w:val="003F128B"/>
    <w:rsid w:val="00401282"/>
    <w:rsid w:val="00402403"/>
    <w:rsid w:val="00406F9F"/>
    <w:rsid w:val="00413CCF"/>
    <w:rsid w:val="00417C77"/>
    <w:rsid w:val="00422728"/>
    <w:rsid w:val="00430026"/>
    <w:rsid w:val="00442F70"/>
    <w:rsid w:val="0045150B"/>
    <w:rsid w:val="0045420F"/>
    <w:rsid w:val="004557E2"/>
    <w:rsid w:val="00457437"/>
    <w:rsid w:val="00457EF0"/>
    <w:rsid w:val="00466081"/>
    <w:rsid w:val="004730DF"/>
    <w:rsid w:val="004744DB"/>
    <w:rsid w:val="00474FF0"/>
    <w:rsid w:val="0047604F"/>
    <w:rsid w:val="00493941"/>
    <w:rsid w:val="00495C58"/>
    <w:rsid w:val="004A6613"/>
    <w:rsid w:val="004A7B9F"/>
    <w:rsid w:val="004A7F77"/>
    <w:rsid w:val="004B04B7"/>
    <w:rsid w:val="004B31B7"/>
    <w:rsid w:val="004B34DC"/>
    <w:rsid w:val="004B5F6A"/>
    <w:rsid w:val="004C3E30"/>
    <w:rsid w:val="004D1206"/>
    <w:rsid w:val="004E24CA"/>
    <w:rsid w:val="004E4C8B"/>
    <w:rsid w:val="004E591F"/>
    <w:rsid w:val="004E5C79"/>
    <w:rsid w:val="004E6D56"/>
    <w:rsid w:val="004F5D46"/>
    <w:rsid w:val="004F6669"/>
    <w:rsid w:val="005105B9"/>
    <w:rsid w:val="00517F3F"/>
    <w:rsid w:val="00542AEB"/>
    <w:rsid w:val="005431D3"/>
    <w:rsid w:val="00544BB6"/>
    <w:rsid w:val="00555E9B"/>
    <w:rsid w:val="00560446"/>
    <w:rsid w:val="005725CE"/>
    <w:rsid w:val="005823DC"/>
    <w:rsid w:val="00595078"/>
    <w:rsid w:val="005A006F"/>
    <w:rsid w:val="005A21BA"/>
    <w:rsid w:val="005B0EE8"/>
    <w:rsid w:val="005B2684"/>
    <w:rsid w:val="005B57E2"/>
    <w:rsid w:val="005B6ADC"/>
    <w:rsid w:val="005C41B1"/>
    <w:rsid w:val="005D08F8"/>
    <w:rsid w:val="005D210B"/>
    <w:rsid w:val="005D3B42"/>
    <w:rsid w:val="005D4BB8"/>
    <w:rsid w:val="005E168C"/>
    <w:rsid w:val="005F1FAF"/>
    <w:rsid w:val="005F46DF"/>
    <w:rsid w:val="005F6B40"/>
    <w:rsid w:val="005F79EA"/>
    <w:rsid w:val="00603B59"/>
    <w:rsid w:val="006114B8"/>
    <w:rsid w:val="006116C7"/>
    <w:rsid w:val="00616B90"/>
    <w:rsid w:val="00621EAC"/>
    <w:rsid w:val="006228AA"/>
    <w:rsid w:val="00623631"/>
    <w:rsid w:val="006238F9"/>
    <w:rsid w:val="00631A4A"/>
    <w:rsid w:val="00644534"/>
    <w:rsid w:val="006610AB"/>
    <w:rsid w:val="006621A9"/>
    <w:rsid w:val="0067341F"/>
    <w:rsid w:val="00675448"/>
    <w:rsid w:val="0067554E"/>
    <w:rsid w:val="006811B8"/>
    <w:rsid w:val="006828A6"/>
    <w:rsid w:val="006A0F4F"/>
    <w:rsid w:val="006C17CE"/>
    <w:rsid w:val="006C5C24"/>
    <w:rsid w:val="006D1959"/>
    <w:rsid w:val="006D2686"/>
    <w:rsid w:val="006D4A62"/>
    <w:rsid w:val="006D651D"/>
    <w:rsid w:val="006F5477"/>
    <w:rsid w:val="006F7D29"/>
    <w:rsid w:val="0071384A"/>
    <w:rsid w:val="0071567A"/>
    <w:rsid w:val="00715965"/>
    <w:rsid w:val="00716440"/>
    <w:rsid w:val="00732190"/>
    <w:rsid w:val="0073464B"/>
    <w:rsid w:val="00737077"/>
    <w:rsid w:val="00737C95"/>
    <w:rsid w:val="00743F71"/>
    <w:rsid w:val="0075229B"/>
    <w:rsid w:val="00752599"/>
    <w:rsid w:val="00753EC6"/>
    <w:rsid w:val="00756B40"/>
    <w:rsid w:val="007570EF"/>
    <w:rsid w:val="007579ED"/>
    <w:rsid w:val="007637A8"/>
    <w:rsid w:val="00763A46"/>
    <w:rsid w:val="00765119"/>
    <w:rsid w:val="007711F5"/>
    <w:rsid w:val="0078162B"/>
    <w:rsid w:val="00781FB7"/>
    <w:rsid w:val="007A245C"/>
    <w:rsid w:val="007A752E"/>
    <w:rsid w:val="007B0583"/>
    <w:rsid w:val="007B1D47"/>
    <w:rsid w:val="007B32AB"/>
    <w:rsid w:val="007B5691"/>
    <w:rsid w:val="007C50C0"/>
    <w:rsid w:val="007C7B78"/>
    <w:rsid w:val="007D1E70"/>
    <w:rsid w:val="007D5BB3"/>
    <w:rsid w:val="007E5F1A"/>
    <w:rsid w:val="007E74ED"/>
    <w:rsid w:val="007F1DB5"/>
    <w:rsid w:val="007F298B"/>
    <w:rsid w:val="008126F5"/>
    <w:rsid w:val="00814CB8"/>
    <w:rsid w:val="00816258"/>
    <w:rsid w:val="00820C22"/>
    <w:rsid w:val="008328BB"/>
    <w:rsid w:val="00845787"/>
    <w:rsid w:val="00853019"/>
    <w:rsid w:val="008540A4"/>
    <w:rsid w:val="00855D3B"/>
    <w:rsid w:val="00862CCF"/>
    <w:rsid w:val="008638CE"/>
    <w:rsid w:val="00863E73"/>
    <w:rsid w:val="00864EC5"/>
    <w:rsid w:val="00866EFB"/>
    <w:rsid w:val="00870041"/>
    <w:rsid w:val="00870A17"/>
    <w:rsid w:val="008771E1"/>
    <w:rsid w:val="00883FE6"/>
    <w:rsid w:val="00886E6E"/>
    <w:rsid w:val="008B47F3"/>
    <w:rsid w:val="008C3BA2"/>
    <w:rsid w:val="008C73CB"/>
    <w:rsid w:val="008D1AAA"/>
    <w:rsid w:val="008E15EF"/>
    <w:rsid w:val="008E1956"/>
    <w:rsid w:val="008E7B41"/>
    <w:rsid w:val="008F16F7"/>
    <w:rsid w:val="008F563B"/>
    <w:rsid w:val="008F5CD8"/>
    <w:rsid w:val="00902011"/>
    <w:rsid w:val="00926D6A"/>
    <w:rsid w:val="00951560"/>
    <w:rsid w:val="00960C11"/>
    <w:rsid w:val="00962A1D"/>
    <w:rsid w:val="009653E0"/>
    <w:rsid w:val="00975C73"/>
    <w:rsid w:val="009840A6"/>
    <w:rsid w:val="00984BDD"/>
    <w:rsid w:val="009A6469"/>
    <w:rsid w:val="009C0576"/>
    <w:rsid w:val="009C14DA"/>
    <w:rsid w:val="009D30C6"/>
    <w:rsid w:val="009D3130"/>
    <w:rsid w:val="009E3B81"/>
    <w:rsid w:val="009E7B81"/>
    <w:rsid w:val="009F04D2"/>
    <w:rsid w:val="00A0268C"/>
    <w:rsid w:val="00A07240"/>
    <w:rsid w:val="00A142F3"/>
    <w:rsid w:val="00A22C50"/>
    <w:rsid w:val="00A316BF"/>
    <w:rsid w:val="00A427D7"/>
    <w:rsid w:val="00A4385E"/>
    <w:rsid w:val="00A43DDD"/>
    <w:rsid w:val="00A532E7"/>
    <w:rsid w:val="00A57E91"/>
    <w:rsid w:val="00A702B5"/>
    <w:rsid w:val="00A76647"/>
    <w:rsid w:val="00A774B2"/>
    <w:rsid w:val="00A8137A"/>
    <w:rsid w:val="00A866B0"/>
    <w:rsid w:val="00A87B24"/>
    <w:rsid w:val="00AB0020"/>
    <w:rsid w:val="00AB5372"/>
    <w:rsid w:val="00AB6BA3"/>
    <w:rsid w:val="00AC3D50"/>
    <w:rsid w:val="00AC5E0A"/>
    <w:rsid w:val="00AD0FCD"/>
    <w:rsid w:val="00AD110A"/>
    <w:rsid w:val="00AD2432"/>
    <w:rsid w:val="00AD2974"/>
    <w:rsid w:val="00AD41CE"/>
    <w:rsid w:val="00AD7767"/>
    <w:rsid w:val="00AE3B32"/>
    <w:rsid w:val="00AE45AF"/>
    <w:rsid w:val="00AE499A"/>
    <w:rsid w:val="00B05DAA"/>
    <w:rsid w:val="00B072A2"/>
    <w:rsid w:val="00B15056"/>
    <w:rsid w:val="00B17917"/>
    <w:rsid w:val="00B22C91"/>
    <w:rsid w:val="00B2722D"/>
    <w:rsid w:val="00B34D34"/>
    <w:rsid w:val="00B35F24"/>
    <w:rsid w:val="00B42F39"/>
    <w:rsid w:val="00B514DA"/>
    <w:rsid w:val="00B550CB"/>
    <w:rsid w:val="00B56F09"/>
    <w:rsid w:val="00B8280B"/>
    <w:rsid w:val="00B85108"/>
    <w:rsid w:val="00B86C9C"/>
    <w:rsid w:val="00BA0B4E"/>
    <w:rsid w:val="00BA13B5"/>
    <w:rsid w:val="00BA5C0C"/>
    <w:rsid w:val="00BC7C16"/>
    <w:rsid w:val="00BE254C"/>
    <w:rsid w:val="00BE4FE4"/>
    <w:rsid w:val="00BF0BB2"/>
    <w:rsid w:val="00BF17B6"/>
    <w:rsid w:val="00C06E10"/>
    <w:rsid w:val="00C1446A"/>
    <w:rsid w:val="00C14608"/>
    <w:rsid w:val="00C15EC5"/>
    <w:rsid w:val="00C238C6"/>
    <w:rsid w:val="00C3137C"/>
    <w:rsid w:val="00C33A93"/>
    <w:rsid w:val="00C379D1"/>
    <w:rsid w:val="00C44663"/>
    <w:rsid w:val="00C568B7"/>
    <w:rsid w:val="00C620CA"/>
    <w:rsid w:val="00C65CF6"/>
    <w:rsid w:val="00C712EC"/>
    <w:rsid w:val="00C75EF7"/>
    <w:rsid w:val="00C806DB"/>
    <w:rsid w:val="00C90CB4"/>
    <w:rsid w:val="00C94C58"/>
    <w:rsid w:val="00CA2349"/>
    <w:rsid w:val="00CA4B13"/>
    <w:rsid w:val="00CA63FD"/>
    <w:rsid w:val="00CA7AEC"/>
    <w:rsid w:val="00CB0CF6"/>
    <w:rsid w:val="00CB6066"/>
    <w:rsid w:val="00CB7C77"/>
    <w:rsid w:val="00CD0F19"/>
    <w:rsid w:val="00CD24E8"/>
    <w:rsid w:val="00CE4534"/>
    <w:rsid w:val="00CF0776"/>
    <w:rsid w:val="00CF7796"/>
    <w:rsid w:val="00D032B0"/>
    <w:rsid w:val="00D0757C"/>
    <w:rsid w:val="00D07C91"/>
    <w:rsid w:val="00D1303C"/>
    <w:rsid w:val="00D27091"/>
    <w:rsid w:val="00D278B8"/>
    <w:rsid w:val="00D279F1"/>
    <w:rsid w:val="00D3212D"/>
    <w:rsid w:val="00D61B69"/>
    <w:rsid w:val="00D65219"/>
    <w:rsid w:val="00D71B92"/>
    <w:rsid w:val="00D73F1A"/>
    <w:rsid w:val="00D95B8A"/>
    <w:rsid w:val="00DA5566"/>
    <w:rsid w:val="00DB294C"/>
    <w:rsid w:val="00DC4214"/>
    <w:rsid w:val="00DC735D"/>
    <w:rsid w:val="00DD2391"/>
    <w:rsid w:val="00DD4C6D"/>
    <w:rsid w:val="00DD53D0"/>
    <w:rsid w:val="00DE3A42"/>
    <w:rsid w:val="00DE7271"/>
    <w:rsid w:val="00DF01BF"/>
    <w:rsid w:val="00DF2A17"/>
    <w:rsid w:val="00E13BB7"/>
    <w:rsid w:val="00E31CE4"/>
    <w:rsid w:val="00E35C92"/>
    <w:rsid w:val="00E41D7F"/>
    <w:rsid w:val="00E5072F"/>
    <w:rsid w:val="00E5187C"/>
    <w:rsid w:val="00E54B6D"/>
    <w:rsid w:val="00E64C98"/>
    <w:rsid w:val="00E711E9"/>
    <w:rsid w:val="00E7674F"/>
    <w:rsid w:val="00E917F9"/>
    <w:rsid w:val="00E95CB8"/>
    <w:rsid w:val="00E9763B"/>
    <w:rsid w:val="00EA372F"/>
    <w:rsid w:val="00EA38BD"/>
    <w:rsid w:val="00EA3AD5"/>
    <w:rsid w:val="00EA5865"/>
    <w:rsid w:val="00EA7562"/>
    <w:rsid w:val="00EB6DCE"/>
    <w:rsid w:val="00EC60F6"/>
    <w:rsid w:val="00EC7CB3"/>
    <w:rsid w:val="00ED6AD9"/>
    <w:rsid w:val="00ED7824"/>
    <w:rsid w:val="00EE24D5"/>
    <w:rsid w:val="00EE29F2"/>
    <w:rsid w:val="00EE61BC"/>
    <w:rsid w:val="00EF222F"/>
    <w:rsid w:val="00F000C6"/>
    <w:rsid w:val="00F11C80"/>
    <w:rsid w:val="00F11F82"/>
    <w:rsid w:val="00F16C9F"/>
    <w:rsid w:val="00F36BAE"/>
    <w:rsid w:val="00F44657"/>
    <w:rsid w:val="00F65A52"/>
    <w:rsid w:val="00F85623"/>
    <w:rsid w:val="00F90423"/>
    <w:rsid w:val="00F97890"/>
    <w:rsid w:val="00FA223F"/>
    <w:rsid w:val="00FA5736"/>
    <w:rsid w:val="00FB3EB5"/>
    <w:rsid w:val="00FB422D"/>
    <w:rsid w:val="00FC70FC"/>
    <w:rsid w:val="00FC74B4"/>
    <w:rsid w:val="00FC7ECC"/>
    <w:rsid w:val="00FD3D90"/>
    <w:rsid w:val="00FE0D4F"/>
    <w:rsid w:val="00FE72D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B0FEC"/>
  <w15:docId w15:val="{9AA7CD26-668C-448C-B6B5-2BBBC33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A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F2A1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DF2A17"/>
    <w:pPr>
      <w:numPr>
        <w:numId w:val="1"/>
      </w:numPr>
      <w:contextualSpacing/>
      <w:jc w:val="both"/>
    </w:pPr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DF2A17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F2A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F2A1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A1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711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7A93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3B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3B4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B672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20B"/>
  </w:style>
  <w:style w:type="paragraph" w:styleId="Fuzeile">
    <w:name w:val="footer"/>
    <w:basedOn w:val="Standard"/>
    <w:link w:val="FuzeileZchn"/>
    <w:uiPriority w:val="99"/>
    <w:unhideWhenUsed/>
    <w:rsid w:val="001A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20B"/>
  </w:style>
  <w:style w:type="paragraph" w:customStyle="1" w:styleId="SchwerpunktHngend">
    <w:name w:val="SchwerpunktHängend"/>
    <w:basedOn w:val="Standard"/>
    <w:link w:val="SchwerpunktHngendZchn"/>
    <w:qFormat/>
    <w:rsid w:val="00631A4A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077" w:hanging="1077"/>
      <w:jc w:val="both"/>
    </w:pPr>
    <w:rPr>
      <w:rFonts w:ascii="Arial" w:hAnsi="Arial"/>
      <w:sz w:val="24"/>
    </w:rPr>
  </w:style>
  <w:style w:type="character" w:customStyle="1" w:styleId="SchwerpunktHngendZchn">
    <w:name w:val="SchwerpunktHängend Zchn"/>
    <w:basedOn w:val="Absatz-Standardschriftart"/>
    <w:link w:val="SchwerpunktHngend"/>
    <w:rsid w:val="00631A4A"/>
    <w:rPr>
      <w:rFonts w:ascii="Arial" w:hAnsi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631A4A"/>
    <w:pPr>
      <w:keepLines/>
      <w:spacing w:after="120"/>
      <w:jc w:val="both"/>
    </w:pPr>
    <w:rPr>
      <w:rFonts w:ascii="Arial" w:hAnsi="Arial"/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631A4A"/>
    <w:rPr>
      <w:rFonts w:ascii="Arial" w:hAnsi="Arial"/>
      <w:sz w:val="24"/>
    </w:rPr>
  </w:style>
  <w:style w:type="paragraph" w:customStyle="1" w:styleId="Default">
    <w:name w:val="Default"/>
    <w:basedOn w:val="Standard"/>
    <w:rsid w:val="007522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Arial Narrow'" w:eastAsia="Arial, 'Arial Narrow'" w:hAnsi="Arial, 'Arial Narrow'" w:cs="Arial, 'Arial Narrow'"/>
      <w:color w:val="000000"/>
      <w:kern w:val="3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1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materialdatenbank/material/view/5850" TargetMode="External"/><Relationship Id="rId13" Type="http://schemas.openxmlformats.org/officeDocument/2006/relationships/hyperlink" Target="https://www.wdr.de/tv/applications/fernsehen/wissen/quarks/pdf/zucker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hulentwicklung.nrw.de/materialdatenbank/material/view/584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hulentwicklung.nrw.de/materialdatenbank/material/view/58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otheken-umschau.de/multimedia/113/143/101/9299518260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.de/fernsehen/ard-alpha/sendungen/schulfernsehen/meilensteine-insulin102.html" TargetMode="External"/><Relationship Id="rId10" Type="http://schemas.openxmlformats.org/officeDocument/2006/relationships/hyperlink" Target="https://www.med4you.at/laborbefunde/lbef2/ogtt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hysiologie.cc/Glukosekurven.jpg" TargetMode="External"/><Relationship Id="rId14" Type="http://schemas.openxmlformats.org/officeDocument/2006/relationships/hyperlink" Target="https://www.planet-schule.de/wissenspool/meilensteine-der-naturwissenschaft-und-technik/inhalt/links-literatur/medizin/frederick-banting-charles-best-und-das-insuli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D26A-9E43-4CA3-AFD7-517D1B0F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9375</Characters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2020-09-25T07:18:00Z</dcterms:created>
  <dcterms:modified xsi:type="dcterms:W3CDTF">2020-09-29T11:19:00Z</dcterms:modified>
</cp:coreProperties>
</file>