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FDC26B" w14:textId="77777777" w:rsidR="004C1A86" w:rsidRDefault="004C1A86" w:rsidP="004C1A86">
      <w:pPr>
        <w:jc w:val="center"/>
        <w:rPr>
          <w:b/>
          <w:u w:val="single"/>
        </w:rPr>
      </w:pPr>
    </w:p>
    <w:p w14:paraId="0A18312E" w14:textId="77777777" w:rsidR="00AF4060" w:rsidRDefault="00AF4060" w:rsidP="004C1A86">
      <w:pPr>
        <w:jc w:val="center"/>
        <w:rPr>
          <w:b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22"/>
        <w:gridCol w:w="3739"/>
        <w:gridCol w:w="722"/>
        <w:gridCol w:w="3877"/>
      </w:tblGrid>
      <w:tr w:rsidR="00B644CA" w14:paraId="4FFDDC47" w14:textId="77777777" w:rsidTr="003225DF">
        <w:trPr>
          <w:cantSplit/>
          <w:trHeight w:hRule="exact" w:val="3277"/>
        </w:trPr>
        <w:tc>
          <w:tcPr>
            <w:tcW w:w="722" w:type="dxa"/>
            <w:textDirection w:val="tbRl"/>
            <w:vAlign w:val="center"/>
          </w:tcPr>
          <w:p w14:paraId="5D236EED" w14:textId="77777777" w:rsidR="00CC6CA5" w:rsidRPr="00CC6CA5" w:rsidRDefault="00CC6CA5" w:rsidP="00DD72A3">
            <w:pPr>
              <w:spacing w:before="240"/>
              <w:ind w:left="113" w:right="113"/>
              <w:jc w:val="center"/>
            </w:pPr>
          </w:p>
        </w:tc>
        <w:tc>
          <w:tcPr>
            <w:tcW w:w="3811" w:type="dxa"/>
            <w:tcBorders>
              <w:right w:val="dashSmallGap" w:sz="4" w:space="0" w:color="auto"/>
            </w:tcBorders>
            <w:vAlign w:val="center"/>
          </w:tcPr>
          <w:p w14:paraId="3363634C" w14:textId="77777777" w:rsidR="00DD197C" w:rsidRDefault="00DD197C" w:rsidP="00DD72A3">
            <w:pPr>
              <w:spacing w:before="240"/>
              <w:jc w:val="center"/>
            </w:pPr>
            <w:r>
              <w:rPr>
                <w:b/>
                <w:u w:val="single"/>
              </w:rPr>
              <w:t>Leporello</w:t>
            </w:r>
            <w:r>
              <w:t xml:space="preserve"> </w:t>
            </w:r>
          </w:p>
          <w:p w14:paraId="06E5355A" w14:textId="77777777" w:rsidR="00CC6CA5" w:rsidRPr="00DD72A3" w:rsidRDefault="00DD72A3" w:rsidP="00DD72A3">
            <w:pPr>
              <w:spacing w:before="240"/>
              <w:jc w:val="center"/>
            </w:pPr>
            <w:r>
              <w:t>Verhältnisformeln aufstellen und benennen</w:t>
            </w:r>
          </w:p>
        </w:tc>
        <w:tc>
          <w:tcPr>
            <w:tcW w:w="565" w:type="dxa"/>
            <w:tcBorders>
              <w:left w:val="dashSmallGap" w:sz="4" w:space="0" w:color="auto"/>
            </w:tcBorders>
            <w:textDirection w:val="tbRl"/>
            <w:vAlign w:val="center"/>
          </w:tcPr>
          <w:p w14:paraId="223C6FE6" w14:textId="77777777" w:rsidR="00CC6CA5" w:rsidRPr="00CC6CA5" w:rsidRDefault="00CC6CA5" w:rsidP="00DD72A3">
            <w:pPr>
              <w:spacing w:before="240"/>
              <w:ind w:left="113" w:right="113"/>
              <w:jc w:val="center"/>
            </w:pPr>
            <w:r w:rsidRPr="00CC6CA5">
              <w:t>Aufgabe</w:t>
            </w:r>
            <w:r w:rsidR="00DD72A3">
              <w:t xml:space="preserve"> 1</w:t>
            </w:r>
          </w:p>
        </w:tc>
        <w:tc>
          <w:tcPr>
            <w:tcW w:w="3962" w:type="dxa"/>
            <w:vAlign w:val="center"/>
          </w:tcPr>
          <w:p w14:paraId="039D98DC" w14:textId="77777777" w:rsidR="00DD72A3" w:rsidRPr="00DD72A3" w:rsidRDefault="00DD72A3" w:rsidP="00B644CA">
            <w:pPr>
              <w:spacing w:before="240"/>
              <w:jc w:val="left"/>
            </w:pPr>
            <w:r>
              <w:t>Erkläre</w:t>
            </w:r>
            <w:r w:rsidR="00DD197C">
              <w:t xml:space="preserve"> schriftlich</w:t>
            </w:r>
            <w:r>
              <w:t xml:space="preserve"> den Unterschied zwischen Kationen und Anionen.</w:t>
            </w:r>
          </w:p>
        </w:tc>
      </w:tr>
      <w:tr w:rsidR="00B644CA" w14:paraId="11F8E040" w14:textId="77777777" w:rsidTr="003225DF">
        <w:trPr>
          <w:cantSplit/>
          <w:trHeight w:hRule="exact" w:val="3277"/>
        </w:trPr>
        <w:tc>
          <w:tcPr>
            <w:tcW w:w="722" w:type="dxa"/>
            <w:textDirection w:val="tbRl"/>
            <w:vAlign w:val="center"/>
          </w:tcPr>
          <w:p w14:paraId="58F87E03" w14:textId="77777777" w:rsidR="00CC6CA5" w:rsidRPr="00CC6CA5" w:rsidRDefault="00DD72A3" w:rsidP="00DD72A3">
            <w:pPr>
              <w:spacing w:before="240"/>
              <w:ind w:left="113" w:right="113"/>
              <w:jc w:val="center"/>
            </w:pPr>
            <w:r>
              <w:t>Lösung 1</w:t>
            </w:r>
          </w:p>
        </w:tc>
        <w:tc>
          <w:tcPr>
            <w:tcW w:w="3811" w:type="dxa"/>
            <w:tcBorders>
              <w:right w:val="dashSmallGap" w:sz="4" w:space="0" w:color="auto"/>
            </w:tcBorders>
            <w:vAlign w:val="center"/>
          </w:tcPr>
          <w:p w14:paraId="50071A59" w14:textId="77777777" w:rsidR="00CC6CA5" w:rsidRDefault="00DD72A3" w:rsidP="00DD72A3">
            <w:pPr>
              <w:spacing w:before="240"/>
            </w:pPr>
            <w:r w:rsidRPr="00DD72A3">
              <w:t>Kationen</w:t>
            </w:r>
            <w:r>
              <w:t xml:space="preserve"> sind positiv geladene Teilchen. Sie haben vorher Elektronen abgegeben.</w:t>
            </w:r>
          </w:p>
          <w:p w14:paraId="3B8A9955" w14:textId="77777777" w:rsidR="00DD72A3" w:rsidRPr="00DD72A3" w:rsidRDefault="00DD72A3" w:rsidP="00DD72A3">
            <w:pPr>
              <w:spacing w:before="240"/>
            </w:pPr>
            <w:r>
              <w:t>Anionen sind negativ geladene Teilchen. Sie haben vorher Elektronen aufgenommen.</w:t>
            </w:r>
          </w:p>
        </w:tc>
        <w:tc>
          <w:tcPr>
            <w:tcW w:w="565" w:type="dxa"/>
            <w:tcBorders>
              <w:left w:val="dashSmallGap" w:sz="4" w:space="0" w:color="auto"/>
            </w:tcBorders>
            <w:textDirection w:val="tbRl"/>
            <w:vAlign w:val="center"/>
          </w:tcPr>
          <w:p w14:paraId="4F2912EB" w14:textId="77777777" w:rsidR="00CC6CA5" w:rsidRPr="00CC6CA5" w:rsidRDefault="00DD72A3" w:rsidP="00DD72A3">
            <w:pPr>
              <w:spacing w:before="240"/>
              <w:ind w:left="113" w:right="113"/>
              <w:jc w:val="center"/>
            </w:pPr>
            <w:r>
              <w:t>Aufgabe 2</w:t>
            </w:r>
          </w:p>
        </w:tc>
        <w:tc>
          <w:tcPr>
            <w:tcW w:w="3962" w:type="dxa"/>
          </w:tcPr>
          <w:p w14:paraId="75C78E52" w14:textId="77777777" w:rsidR="00CC6CA5" w:rsidRDefault="00DD72A3" w:rsidP="00DD72A3">
            <w:pPr>
              <w:spacing w:before="240"/>
              <w:jc w:val="left"/>
            </w:pPr>
            <w:r w:rsidRPr="00DD72A3">
              <w:t>Bestimme</w:t>
            </w:r>
            <w:r>
              <w:t xml:space="preserve"> für die folgenden Kationen die Ladung. Notiere dir deine Ergebnisse.</w:t>
            </w:r>
          </w:p>
          <w:p w14:paraId="03ABCE89" w14:textId="77777777" w:rsidR="00DD72A3" w:rsidRDefault="00DD72A3" w:rsidP="0004152E">
            <w:pPr>
              <w:pStyle w:val="Listenabsatz"/>
              <w:numPr>
                <w:ilvl w:val="0"/>
                <w:numId w:val="21"/>
              </w:numPr>
              <w:spacing w:before="240"/>
              <w:jc w:val="left"/>
            </w:pPr>
            <w:r>
              <w:t>Mg</w:t>
            </w:r>
            <w:r w:rsidR="000E7815">
              <w:rPr>
                <w:vertAlign w:val="superscript"/>
              </w:rPr>
              <w:t>?+</w:t>
            </w:r>
          </w:p>
          <w:p w14:paraId="711F233A" w14:textId="77777777" w:rsidR="00DD72A3" w:rsidRDefault="00DD72A3" w:rsidP="0004152E">
            <w:pPr>
              <w:pStyle w:val="Listenabsatz"/>
              <w:numPr>
                <w:ilvl w:val="0"/>
                <w:numId w:val="21"/>
              </w:numPr>
              <w:spacing w:before="240"/>
              <w:jc w:val="left"/>
            </w:pPr>
            <w:r>
              <w:t>NH</w:t>
            </w:r>
            <w:r>
              <w:rPr>
                <w:vertAlign w:val="subscript"/>
              </w:rPr>
              <w:t>4</w:t>
            </w:r>
            <w:r w:rsidR="000E7815">
              <w:rPr>
                <w:vertAlign w:val="superscript"/>
              </w:rPr>
              <w:t>?+</w:t>
            </w:r>
          </w:p>
          <w:p w14:paraId="52975085" w14:textId="77777777" w:rsidR="00DD72A3" w:rsidRPr="00DD72A3" w:rsidRDefault="00DD72A3" w:rsidP="00D93438">
            <w:pPr>
              <w:spacing w:before="240"/>
              <w:jc w:val="left"/>
            </w:pPr>
          </w:p>
        </w:tc>
      </w:tr>
      <w:tr w:rsidR="00B644CA" w14:paraId="6C499723" w14:textId="77777777" w:rsidTr="003225DF">
        <w:trPr>
          <w:cantSplit/>
          <w:trHeight w:hRule="exact" w:val="3277"/>
        </w:trPr>
        <w:tc>
          <w:tcPr>
            <w:tcW w:w="722" w:type="dxa"/>
            <w:textDirection w:val="tbRl"/>
            <w:vAlign w:val="center"/>
          </w:tcPr>
          <w:p w14:paraId="13BFBA3D" w14:textId="77777777" w:rsidR="00CC6CA5" w:rsidRPr="00CC6CA5" w:rsidRDefault="00B644CA" w:rsidP="00DD72A3">
            <w:pPr>
              <w:spacing w:before="240"/>
              <w:ind w:left="113" w:right="113"/>
              <w:jc w:val="center"/>
            </w:pPr>
            <w:r>
              <w:t>Lösung 2</w:t>
            </w:r>
          </w:p>
        </w:tc>
        <w:tc>
          <w:tcPr>
            <w:tcW w:w="3811" w:type="dxa"/>
            <w:tcBorders>
              <w:right w:val="dashSmallGap" w:sz="4" w:space="0" w:color="auto"/>
            </w:tcBorders>
            <w:vAlign w:val="center"/>
          </w:tcPr>
          <w:p w14:paraId="3D587879" w14:textId="77777777" w:rsidR="00DD72A3" w:rsidRDefault="00DD72A3" w:rsidP="0004152E">
            <w:pPr>
              <w:pStyle w:val="Listenabsatz"/>
              <w:numPr>
                <w:ilvl w:val="0"/>
                <w:numId w:val="27"/>
              </w:numPr>
              <w:spacing w:before="240" w:after="160"/>
              <w:jc w:val="left"/>
            </w:pPr>
            <w:r>
              <w:t>Mg</w:t>
            </w:r>
            <w:r>
              <w:rPr>
                <w:vertAlign w:val="superscript"/>
              </w:rPr>
              <w:t>2+</w:t>
            </w:r>
          </w:p>
          <w:p w14:paraId="06128A49" w14:textId="77777777" w:rsidR="00CC6CA5" w:rsidRDefault="00DD72A3" w:rsidP="0004152E">
            <w:pPr>
              <w:pStyle w:val="Listenabsatz"/>
              <w:numPr>
                <w:ilvl w:val="0"/>
                <w:numId w:val="27"/>
              </w:numPr>
              <w:spacing w:before="240" w:after="160"/>
              <w:jc w:val="left"/>
            </w:pPr>
            <w:r>
              <w:t>NH</w:t>
            </w:r>
            <w:r>
              <w:rPr>
                <w:vertAlign w:val="subscript"/>
              </w:rPr>
              <w:t>4</w:t>
            </w:r>
            <w:r>
              <w:rPr>
                <w:vertAlign w:val="superscript"/>
              </w:rPr>
              <w:t>+</w:t>
            </w:r>
          </w:p>
          <w:p w14:paraId="104FBB35" w14:textId="77777777" w:rsidR="00DD72A3" w:rsidRPr="00DD72A3" w:rsidRDefault="00DD72A3" w:rsidP="00D93438">
            <w:pPr>
              <w:pStyle w:val="Listenabsatz"/>
              <w:spacing w:before="240" w:after="160"/>
              <w:jc w:val="left"/>
            </w:pPr>
          </w:p>
        </w:tc>
        <w:tc>
          <w:tcPr>
            <w:tcW w:w="565" w:type="dxa"/>
            <w:tcBorders>
              <w:left w:val="dashSmallGap" w:sz="4" w:space="0" w:color="auto"/>
            </w:tcBorders>
            <w:textDirection w:val="tbRl"/>
            <w:vAlign w:val="center"/>
          </w:tcPr>
          <w:p w14:paraId="5DCDABEE" w14:textId="77777777" w:rsidR="00CC6CA5" w:rsidRPr="00CC6CA5" w:rsidRDefault="00B644CA" w:rsidP="00DD72A3">
            <w:pPr>
              <w:spacing w:before="240"/>
              <w:ind w:left="113" w:right="113"/>
              <w:jc w:val="center"/>
            </w:pPr>
            <w:r>
              <w:t>Aufgabe 3</w:t>
            </w:r>
          </w:p>
        </w:tc>
        <w:tc>
          <w:tcPr>
            <w:tcW w:w="3962" w:type="dxa"/>
          </w:tcPr>
          <w:p w14:paraId="3649B4D6" w14:textId="02F5AF62" w:rsidR="00CC6CA5" w:rsidRPr="0004152E" w:rsidRDefault="00DD72A3" w:rsidP="00DD72A3">
            <w:pPr>
              <w:spacing w:before="240"/>
              <w:jc w:val="left"/>
            </w:pPr>
            <w:r w:rsidRPr="0004152E">
              <w:t>Erläutere</w:t>
            </w:r>
            <w:r w:rsidR="00194456" w:rsidRPr="0004152E">
              <w:t>,</w:t>
            </w:r>
            <w:r w:rsidRPr="0004152E">
              <w:t xml:space="preserve"> </w:t>
            </w:r>
            <w:r w:rsidR="00194456" w:rsidRPr="0004152E">
              <w:t>worin sich die Salze unterscheiden</w:t>
            </w:r>
            <w:r w:rsidR="00B43921" w:rsidRPr="0004152E">
              <w:t>.</w:t>
            </w:r>
            <w:r w:rsidRPr="0004152E">
              <w:t xml:space="preserve"> </w:t>
            </w:r>
          </w:p>
          <w:p w14:paraId="44AB3462" w14:textId="77777777" w:rsidR="00D93438" w:rsidRPr="0004152E" w:rsidRDefault="00D93438" w:rsidP="00D93438">
            <w:pPr>
              <w:pStyle w:val="Listenabsatz"/>
              <w:numPr>
                <w:ilvl w:val="0"/>
                <w:numId w:val="20"/>
              </w:numPr>
              <w:spacing w:before="240"/>
              <w:jc w:val="left"/>
            </w:pPr>
            <w:r w:rsidRPr="0004152E">
              <w:t>MgO bzw. Mg</w:t>
            </w:r>
            <w:r w:rsidR="00642BF6" w:rsidRPr="0004152E">
              <w:rPr>
                <w:vertAlign w:val="subscript"/>
              </w:rPr>
              <w:t>3</w:t>
            </w:r>
            <w:r w:rsidR="00642BF6" w:rsidRPr="0004152E">
              <w:t>N</w:t>
            </w:r>
            <w:r w:rsidR="00642BF6" w:rsidRPr="0004152E">
              <w:rPr>
                <w:vertAlign w:val="subscript"/>
              </w:rPr>
              <w:t>2</w:t>
            </w:r>
          </w:p>
          <w:p w14:paraId="770567BE" w14:textId="2655EC1D" w:rsidR="00194456" w:rsidRPr="0004152E" w:rsidRDefault="00194456" w:rsidP="00194456">
            <w:pPr>
              <w:spacing w:before="240"/>
              <w:jc w:val="left"/>
            </w:pPr>
            <w:r w:rsidRPr="0004152E">
              <w:t>Erläutere, warum beim zweiten Beispiel eine Klammer gesetzt werden muss</w:t>
            </w:r>
            <w:r w:rsidR="00B43921" w:rsidRPr="0004152E">
              <w:t>.</w:t>
            </w:r>
          </w:p>
          <w:p w14:paraId="2569E38E" w14:textId="77777777" w:rsidR="00D93438" w:rsidRPr="0004152E" w:rsidRDefault="00D93438" w:rsidP="00D93438">
            <w:pPr>
              <w:pStyle w:val="Listenabsatz"/>
              <w:numPr>
                <w:ilvl w:val="0"/>
                <w:numId w:val="20"/>
              </w:numPr>
              <w:spacing w:before="240"/>
              <w:jc w:val="left"/>
            </w:pPr>
            <w:r w:rsidRPr="0004152E">
              <w:t>NH</w:t>
            </w:r>
            <w:r w:rsidRPr="0004152E">
              <w:rPr>
                <w:vertAlign w:val="subscript"/>
              </w:rPr>
              <w:t>4</w:t>
            </w:r>
            <w:r w:rsidRPr="0004152E">
              <w:t>Br und (NH</w:t>
            </w:r>
            <w:r w:rsidRPr="0004152E">
              <w:rPr>
                <w:vertAlign w:val="subscript"/>
              </w:rPr>
              <w:t>4</w:t>
            </w:r>
            <w:r w:rsidRPr="0004152E">
              <w:t>)</w:t>
            </w:r>
            <w:r w:rsidRPr="0004152E">
              <w:rPr>
                <w:vertAlign w:val="subscript"/>
              </w:rPr>
              <w:t>2</w:t>
            </w:r>
            <w:r w:rsidRPr="0004152E">
              <w:t>SO</w:t>
            </w:r>
            <w:r w:rsidRPr="0004152E">
              <w:rPr>
                <w:vertAlign w:val="subscript"/>
              </w:rPr>
              <w:t>4</w:t>
            </w:r>
          </w:p>
          <w:p w14:paraId="6A4B780E" w14:textId="77777777" w:rsidR="00D93438" w:rsidRPr="00DD72A3" w:rsidRDefault="00D93438" w:rsidP="00D93438">
            <w:pPr>
              <w:pStyle w:val="Listenabsatz"/>
              <w:spacing w:before="240"/>
              <w:jc w:val="left"/>
            </w:pPr>
          </w:p>
        </w:tc>
      </w:tr>
      <w:tr w:rsidR="00B644CA" w14:paraId="7E6826E9" w14:textId="77777777" w:rsidTr="003225DF">
        <w:trPr>
          <w:cantSplit/>
          <w:trHeight w:hRule="exact" w:val="3277"/>
        </w:trPr>
        <w:tc>
          <w:tcPr>
            <w:tcW w:w="722" w:type="dxa"/>
            <w:textDirection w:val="tbRl"/>
            <w:vAlign w:val="center"/>
          </w:tcPr>
          <w:p w14:paraId="5E3802B0" w14:textId="77777777" w:rsidR="00CC6CA5" w:rsidRPr="00CC6CA5" w:rsidRDefault="00B644CA" w:rsidP="00DD72A3">
            <w:pPr>
              <w:spacing w:before="240"/>
              <w:ind w:left="113" w:right="113"/>
              <w:jc w:val="center"/>
            </w:pPr>
            <w:r>
              <w:t>Lösung 3</w:t>
            </w:r>
          </w:p>
        </w:tc>
        <w:tc>
          <w:tcPr>
            <w:tcW w:w="3811" w:type="dxa"/>
            <w:tcBorders>
              <w:right w:val="dashSmallGap" w:sz="4" w:space="0" w:color="auto"/>
            </w:tcBorders>
            <w:vAlign w:val="center"/>
          </w:tcPr>
          <w:p w14:paraId="25CC0636" w14:textId="4A123995" w:rsidR="00194456" w:rsidRDefault="00194456" w:rsidP="00194456">
            <w:pPr>
              <w:spacing w:before="240"/>
              <w:rPr>
                <w:sz w:val="20"/>
                <w:szCs w:val="20"/>
              </w:rPr>
            </w:pPr>
            <w:r w:rsidRPr="00194456">
              <w:rPr>
                <w:sz w:val="20"/>
                <w:szCs w:val="20"/>
              </w:rPr>
              <w:t>Zu a)</w:t>
            </w:r>
            <w:r w:rsidR="00B43921">
              <w:rPr>
                <w:sz w:val="20"/>
                <w:szCs w:val="20"/>
              </w:rPr>
              <w:t>:</w:t>
            </w:r>
            <w:r w:rsidRPr="00194456">
              <w:rPr>
                <w:sz w:val="20"/>
                <w:szCs w:val="20"/>
              </w:rPr>
              <w:t xml:space="preserve"> </w:t>
            </w:r>
            <w:r w:rsidR="00DD72A3" w:rsidRPr="00194456">
              <w:rPr>
                <w:sz w:val="20"/>
                <w:szCs w:val="20"/>
              </w:rPr>
              <w:t>Mg</w:t>
            </w:r>
            <w:r w:rsidR="00D93438" w:rsidRPr="00194456">
              <w:rPr>
                <w:sz w:val="20"/>
                <w:szCs w:val="20"/>
                <w:vertAlign w:val="superscript"/>
              </w:rPr>
              <w:t>2+</w:t>
            </w:r>
            <w:r w:rsidR="00DD72A3" w:rsidRPr="00194456">
              <w:rPr>
                <w:sz w:val="20"/>
                <w:szCs w:val="20"/>
              </w:rPr>
              <w:t xml:space="preserve"> </w:t>
            </w:r>
            <w:r w:rsidR="00D65C50" w:rsidRPr="00194456">
              <w:rPr>
                <w:sz w:val="20"/>
                <w:szCs w:val="20"/>
              </w:rPr>
              <w:t xml:space="preserve">bedeutet in einer Verhältnisformel, dass nur ein Magnesium-Kation im Verhältnis zur Anionen-Anzahl vorhanden ist. </w:t>
            </w:r>
            <w:r w:rsidRPr="00194456">
              <w:rPr>
                <w:sz w:val="20"/>
                <w:szCs w:val="20"/>
              </w:rPr>
              <w:t>„</w:t>
            </w:r>
            <w:r w:rsidR="00642BF6" w:rsidRPr="00194456">
              <w:rPr>
                <w:sz w:val="20"/>
                <w:szCs w:val="20"/>
              </w:rPr>
              <w:t>(</w:t>
            </w:r>
            <w:r w:rsidR="001D7ECC" w:rsidRPr="00194456">
              <w:rPr>
                <w:sz w:val="20"/>
                <w:szCs w:val="20"/>
              </w:rPr>
              <w:t>Mg</w:t>
            </w:r>
            <w:r w:rsidR="001D7ECC" w:rsidRPr="00194456">
              <w:rPr>
                <w:sz w:val="20"/>
                <w:szCs w:val="20"/>
                <w:vertAlign w:val="superscript"/>
              </w:rPr>
              <w:t>2+</w:t>
            </w:r>
            <w:r w:rsidR="00642BF6" w:rsidRPr="00194456">
              <w:rPr>
                <w:sz w:val="20"/>
                <w:szCs w:val="20"/>
              </w:rPr>
              <w:t>)</w:t>
            </w:r>
            <w:r w:rsidR="00642BF6" w:rsidRPr="00194456">
              <w:rPr>
                <w:sz w:val="20"/>
                <w:szCs w:val="20"/>
                <w:vertAlign w:val="subscript"/>
              </w:rPr>
              <w:t>3</w:t>
            </w:r>
            <w:r w:rsidRPr="00194456">
              <w:rPr>
                <w:sz w:val="20"/>
                <w:szCs w:val="20"/>
              </w:rPr>
              <w:t>“</w:t>
            </w:r>
            <w:r w:rsidR="00642BF6" w:rsidRPr="00194456">
              <w:rPr>
                <w:sz w:val="20"/>
                <w:szCs w:val="20"/>
                <w:vertAlign w:val="subscript"/>
              </w:rPr>
              <w:t xml:space="preserve"> </w:t>
            </w:r>
            <w:r w:rsidR="00D65C50" w:rsidRPr="00194456">
              <w:rPr>
                <w:sz w:val="20"/>
                <w:szCs w:val="20"/>
              </w:rPr>
              <w:t xml:space="preserve">bedeutet, dass drei Magnesium-Kationen im Verhältnis zur Anionen-Anzahl vorhanden </w:t>
            </w:r>
            <w:r w:rsidR="00642BF6" w:rsidRPr="00194456">
              <w:rPr>
                <w:sz w:val="20"/>
                <w:szCs w:val="20"/>
              </w:rPr>
              <w:t>sind</w:t>
            </w:r>
            <w:r w:rsidR="00D65C50" w:rsidRPr="00194456">
              <w:rPr>
                <w:sz w:val="20"/>
                <w:szCs w:val="20"/>
              </w:rPr>
              <w:t>.</w:t>
            </w:r>
          </w:p>
          <w:p w14:paraId="1F170B27" w14:textId="3837D914" w:rsidR="00194456" w:rsidRPr="00194456" w:rsidRDefault="00194456" w:rsidP="00194456">
            <w:pPr>
              <w:spacing w:before="240"/>
              <w:rPr>
                <w:sz w:val="20"/>
                <w:szCs w:val="20"/>
              </w:rPr>
            </w:pPr>
            <w:r w:rsidRPr="00194456">
              <w:rPr>
                <w:sz w:val="20"/>
                <w:szCs w:val="20"/>
              </w:rPr>
              <w:t>Zu b)</w:t>
            </w:r>
            <w:r w:rsidR="00B43921">
              <w:rPr>
                <w:sz w:val="20"/>
                <w:szCs w:val="20"/>
              </w:rPr>
              <w:t>:</w:t>
            </w:r>
            <w:r w:rsidRPr="00194456">
              <w:rPr>
                <w:sz w:val="20"/>
                <w:szCs w:val="20"/>
              </w:rPr>
              <w:t xml:space="preserve"> Wenn ein Ion eine Verbindung aus mehreren Atomen ist, so wird über die Klammer deut</w:t>
            </w:r>
            <w:r>
              <w:rPr>
                <w:sz w:val="20"/>
                <w:szCs w:val="20"/>
              </w:rPr>
              <w:t>l</w:t>
            </w:r>
            <w:r w:rsidRPr="00194456">
              <w:rPr>
                <w:sz w:val="20"/>
                <w:szCs w:val="20"/>
              </w:rPr>
              <w:t>ich, dass sich der Index auf alle Teilchen innerhalb der Klammer bezieht</w:t>
            </w:r>
            <w:r>
              <w:rPr>
                <w:sz w:val="20"/>
                <w:szCs w:val="20"/>
              </w:rPr>
              <w:t>.</w:t>
            </w:r>
          </w:p>
          <w:p w14:paraId="5213A039" w14:textId="77777777" w:rsidR="006C5975" w:rsidRPr="00194456" w:rsidRDefault="006C5975" w:rsidP="006C5975">
            <w:pPr>
              <w:rPr>
                <w:sz w:val="20"/>
                <w:szCs w:val="20"/>
              </w:rPr>
            </w:pPr>
          </w:p>
          <w:p w14:paraId="55F6885E" w14:textId="77777777" w:rsidR="006C5975" w:rsidRPr="00194456" w:rsidRDefault="006C5975" w:rsidP="006C5975">
            <w:pPr>
              <w:rPr>
                <w:sz w:val="20"/>
                <w:szCs w:val="20"/>
              </w:rPr>
            </w:pPr>
          </w:p>
          <w:p w14:paraId="6DDA59EF" w14:textId="77777777" w:rsidR="006C5975" w:rsidRDefault="006C5975" w:rsidP="006C5975"/>
          <w:p w14:paraId="6CB91338" w14:textId="77777777" w:rsidR="006C5975" w:rsidRPr="006C5975" w:rsidRDefault="006C5975" w:rsidP="006C5975"/>
          <w:p w14:paraId="13232CAE" w14:textId="77777777" w:rsidR="006C5975" w:rsidRDefault="006C5975" w:rsidP="006C5975"/>
          <w:p w14:paraId="4775C0E3" w14:textId="77777777" w:rsidR="006C5975" w:rsidRDefault="006C5975" w:rsidP="006C5975"/>
          <w:p w14:paraId="0B75AEB7" w14:textId="77777777" w:rsidR="00CC6CA5" w:rsidRPr="006C5975" w:rsidRDefault="00CC6CA5" w:rsidP="006C5975"/>
        </w:tc>
        <w:tc>
          <w:tcPr>
            <w:tcW w:w="565" w:type="dxa"/>
            <w:tcBorders>
              <w:left w:val="dashSmallGap" w:sz="4" w:space="0" w:color="auto"/>
            </w:tcBorders>
            <w:textDirection w:val="tbRl"/>
            <w:vAlign w:val="center"/>
          </w:tcPr>
          <w:p w14:paraId="3CBC6BB0" w14:textId="77777777" w:rsidR="00CC6CA5" w:rsidRPr="00CC6CA5" w:rsidRDefault="00B644CA" w:rsidP="00DD72A3">
            <w:pPr>
              <w:spacing w:before="240"/>
              <w:ind w:left="113" w:right="113"/>
              <w:jc w:val="center"/>
            </w:pPr>
            <w:r>
              <w:t>Aufgabe 4</w:t>
            </w:r>
          </w:p>
        </w:tc>
        <w:tc>
          <w:tcPr>
            <w:tcW w:w="3962" w:type="dxa"/>
          </w:tcPr>
          <w:p w14:paraId="237C042C" w14:textId="77777777" w:rsidR="00D65C50" w:rsidRDefault="00D65C50" w:rsidP="00D65C50">
            <w:pPr>
              <w:spacing w:before="240"/>
              <w:jc w:val="left"/>
            </w:pPr>
            <w:r w:rsidRPr="00DD72A3">
              <w:t>Bestimme</w:t>
            </w:r>
            <w:r w:rsidR="000265D1">
              <w:t xml:space="preserve"> die Ladung</w:t>
            </w:r>
            <w:r>
              <w:t xml:space="preserve"> </w:t>
            </w:r>
            <w:r w:rsidR="000265D1">
              <w:t>der</w:t>
            </w:r>
            <w:r>
              <w:t xml:space="preserve"> folgenden Anionen. Notiere dir deine Ergebnisse.</w:t>
            </w:r>
          </w:p>
          <w:p w14:paraId="67B8DF87" w14:textId="77777777" w:rsidR="00D65C50" w:rsidRDefault="00D65C50" w:rsidP="0004152E">
            <w:pPr>
              <w:pStyle w:val="Listenabsatz"/>
              <w:numPr>
                <w:ilvl w:val="0"/>
                <w:numId w:val="22"/>
              </w:numPr>
              <w:spacing w:before="240"/>
              <w:jc w:val="left"/>
            </w:pPr>
            <w:r>
              <w:t>Cl</w:t>
            </w:r>
            <w:r w:rsidR="000E7815">
              <w:rPr>
                <w:vertAlign w:val="superscript"/>
              </w:rPr>
              <w:t>?-</w:t>
            </w:r>
          </w:p>
          <w:p w14:paraId="3A642C30" w14:textId="77777777" w:rsidR="00D65C50" w:rsidRPr="00D65C50" w:rsidRDefault="00D65C50" w:rsidP="0004152E">
            <w:pPr>
              <w:pStyle w:val="Listenabsatz"/>
              <w:numPr>
                <w:ilvl w:val="0"/>
                <w:numId w:val="22"/>
              </w:numPr>
              <w:spacing w:before="240"/>
              <w:jc w:val="left"/>
            </w:pPr>
            <w:r>
              <w:t>PO</w:t>
            </w:r>
            <w:r w:rsidRPr="00D65C50">
              <w:rPr>
                <w:vertAlign w:val="subscript"/>
              </w:rPr>
              <w:t>4</w:t>
            </w:r>
            <w:r w:rsidR="000E7815">
              <w:rPr>
                <w:vertAlign w:val="superscript"/>
              </w:rPr>
              <w:t>?-</w:t>
            </w:r>
          </w:p>
          <w:p w14:paraId="300007BA" w14:textId="77777777" w:rsidR="00D65C50" w:rsidRPr="00E7602C" w:rsidRDefault="00D65C50" w:rsidP="0004152E">
            <w:pPr>
              <w:pStyle w:val="Listenabsatz"/>
              <w:numPr>
                <w:ilvl w:val="0"/>
                <w:numId w:val="22"/>
              </w:numPr>
              <w:spacing w:before="240"/>
              <w:jc w:val="left"/>
            </w:pPr>
            <w:r>
              <w:t>CO</w:t>
            </w:r>
            <w:r>
              <w:rPr>
                <w:vertAlign w:val="subscript"/>
              </w:rPr>
              <w:t>3</w:t>
            </w:r>
            <w:r w:rsidR="00642BF6">
              <w:rPr>
                <w:vertAlign w:val="superscript"/>
              </w:rPr>
              <w:t>?-</w:t>
            </w:r>
          </w:p>
          <w:p w14:paraId="0C353FB1" w14:textId="77777777" w:rsidR="00CC1CF6" w:rsidRDefault="00CC1CF6" w:rsidP="00E7602C">
            <w:pPr>
              <w:spacing w:before="240"/>
              <w:jc w:val="left"/>
            </w:pPr>
          </w:p>
          <w:p w14:paraId="71D929F6" w14:textId="77777777" w:rsidR="00CC1CF6" w:rsidRPr="00CC1CF6" w:rsidRDefault="00CC1CF6" w:rsidP="00CC1CF6"/>
          <w:p w14:paraId="332BB934" w14:textId="77777777" w:rsidR="00CC1CF6" w:rsidRDefault="00CC1CF6" w:rsidP="00CC1CF6"/>
          <w:p w14:paraId="2F6CDD07" w14:textId="77777777" w:rsidR="00E7602C" w:rsidRPr="00CC1CF6" w:rsidRDefault="00E7602C" w:rsidP="00CC1CF6">
            <w:pPr>
              <w:jc w:val="right"/>
            </w:pPr>
          </w:p>
        </w:tc>
      </w:tr>
      <w:tr w:rsidR="00B644CA" w14:paraId="2F1C94B5" w14:textId="77777777" w:rsidTr="003225DF">
        <w:trPr>
          <w:cantSplit/>
          <w:trHeight w:hRule="exact" w:val="3277"/>
        </w:trPr>
        <w:tc>
          <w:tcPr>
            <w:tcW w:w="722" w:type="dxa"/>
            <w:textDirection w:val="tbRl"/>
            <w:vAlign w:val="center"/>
          </w:tcPr>
          <w:p w14:paraId="7CA9C2E2" w14:textId="77777777" w:rsidR="00CC6CA5" w:rsidRPr="00CC6CA5" w:rsidRDefault="00B644CA" w:rsidP="00DD72A3">
            <w:pPr>
              <w:spacing w:before="240"/>
              <w:ind w:left="113" w:right="113"/>
              <w:jc w:val="center"/>
            </w:pPr>
            <w:r>
              <w:lastRenderedPageBreak/>
              <w:t>Lösung 4</w:t>
            </w:r>
          </w:p>
        </w:tc>
        <w:tc>
          <w:tcPr>
            <w:tcW w:w="3811" w:type="dxa"/>
            <w:tcBorders>
              <w:right w:val="dashSmallGap" w:sz="4" w:space="0" w:color="auto"/>
            </w:tcBorders>
            <w:vAlign w:val="center"/>
          </w:tcPr>
          <w:p w14:paraId="17A65D40" w14:textId="77777777" w:rsidR="00D65C50" w:rsidRDefault="00D65C50" w:rsidP="0004152E">
            <w:pPr>
              <w:pStyle w:val="Listenabsatz"/>
              <w:numPr>
                <w:ilvl w:val="0"/>
                <w:numId w:val="23"/>
              </w:numPr>
              <w:spacing w:before="240"/>
              <w:jc w:val="left"/>
            </w:pPr>
            <w:r>
              <w:t>Cl</w:t>
            </w:r>
            <w:r w:rsidR="004E1288">
              <w:rPr>
                <w:vertAlign w:val="superscript"/>
              </w:rPr>
              <w:t>–</w:t>
            </w:r>
          </w:p>
          <w:p w14:paraId="6454318C" w14:textId="77777777" w:rsidR="00D65C50" w:rsidRPr="00D65C50" w:rsidRDefault="00D65C50" w:rsidP="0004152E">
            <w:pPr>
              <w:pStyle w:val="Listenabsatz"/>
              <w:numPr>
                <w:ilvl w:val="0"/>
                <w:numId w:val="23"/>
              </w:numPr>
              <w:spacing w:before="240"/>
              <w:jc w:val="left"/>
            </w:pPr>
            <w:r>
              <w:t>PO</w:t>
            </w:r>
            <w:r w:rsidRPr="00D65C50">
              <w:rPr>
                <w:vertAlign w:val="subscript"/>
              </w:rPr>
              <w:t>4</w:t>
            </w:r>
            <w:r>
              <w:rPr>
                <w:vertAlign w:val="superscript"/>
              </w:rPr>
              <w:t>3</w:t>
            </w:r>
            <w:r w:rsidR="004E1288">
              <w:rPr>
                <w:vertAlign w:val="superscript"/>
              </w:rPr>
              <w:t>–</w:t>
            </w:r>
          </w:p>
          <w:p w14:paraId="0CFDA4C6" w14:textId="77777777" w:rsidR="00CC6CA5" w:rsidRPr="00DD72A3" w:rsidRDefault="00D65C50" w:rsidP="0004152E">
            <w:pPr>
              <w:pStyle w:val="Listenabsatz"/>
              <w:numPr>
                <w:ilvl w:val="0"/>
                <w:numId w:val="23"/>
              </w:numPr>
              <w:spacing w:before="240"/>
              <w:jc w:val="left"/>
            </w:pPr>
            <w:r>
              <w:t>CO</w:t>
            </w:r>
            <w:r w:rsidRPr="00D65C50">
              <w:rPr>
                <w:vertAlign w:val="subscript"/>
              </w:rPr>
              <w:t>3</w:t>
            </w:r>
            <w:r>
              <w:rPr>
                <w:vertAlign w:val="superscript"/>
              </w:rPr>
              <w:t>2</w:t>
            </w:r>
            <w:r w:rsidR="004E1288">
              <w:rPr>
                <w:vertAlign w:val="superscript"/>
              </w:rPr>
              <w:t>–</w:t>
            </w:r>
          </w:p>
        </w:tc>
        <w:tc>
          <w:tcPr>
            <w:tcW w:w="565" w:type="dxa"/>
            <w:tcBorders>
              <w:left w:val="dashSmallGap" w:sz="4" w:space="0" w:color="auto"/>
            </w:tcBorders>
            <w:textDirection w:val="tbRl"/>
            <w:vAlign w:val="center"/>
          </w:tcPr>
          <w:p w14:paraId="79A6FC65" w14:textId="77777777" w:rsidR="00CC6CA5" w:rsidRPr="00CC6CA5" w:rsidRDefault="00B644CA" w:rsidP="00DD72A3">
            <w:pPr>
              <w:spacing w:before="240"/>
              <w:ind w:left="113" w:right="113"/>
              <w:jc w:val="center"/>
            </w:pPr>
            <w:r>
              <w:t>Aufgabe 5</w:t>
            </w:r>
          </w:p>
        </w:tc>
        <w:tc>
          <w:tcPr>
            <w:tcW w:w="3962" w:type="dxa"/>
          </w:tcPr>
          <w:p w14:paraId="162D9EF0" w14:textId="77777777" w:rsidR="00CC6CA5" w:rsidRDefault="00D65C50" w:rsidP="00DD72A3">
            <w:pPr>
              <w:spacing w:before="240"/>
              <w:jc w:val="left"/>
            </w:pPr>
            <w:r>
              <w:t>Wie viele negative Ladungen müssen hier ausgeglichen werden? Begründe deine Antwort schriftlich.</w:t>
            </w:r>
          </w:p>
          <w:p w14:paraId="6F37148F" w14:textId="77777777" w:rsidR="00D65C50" w:rsidRPr="00DD72A3" w:rsidRDefault="004E1288" w:rsidP="00DD72A3">
            <w:pPr>
              <w:spacing w:before="240"/>
              <w:jc w:val="left"/>
            </w:pPr>
            <w:r>
              <w:t>Al</w:t>
            </w:r>
            <w:r>
              <w:rPr>
                <w:vertAlign w:val="subscript"/>
              </w:rPr>
              <w:t>2</w:t>
            </w:r>
            <w:r>
              <w:t>(</w:t>
            </w:r>
            <w:r w:rsidR="00D65C50">
              <w:t>CO</w:t>
            </w:r>
            <w:r w:rsidRPr="004E1288">
              <w:rPr>
                <w:vertAlign w:val="subscript"/>
              </w:rPr>
              <w:t>3</w:t>
            </w:r>
            <w:r w:rsidR="00D65C50">
              <w:t>)</w:t>
            </w:r>
            <w:r w:rsidR="00D65C50" w:rsidRPr="00D65C50">
              <w:rPr>
                <w:vertAlign w:val="subscript"/>
              </w:rPr>
              <w:t>3</w:t>
            </w:r>
          </w:p>
        </w:tc>
      </w:tr>
      <w:tr w:rsidR="00B644CA" w14:paraId="4537B2D1" w14:textId="77777777" w:rsidTr="003225DF">
        <w:trPr>
          <w:cantSplit/>
          <w:trHeight w:hRule="exact" w:val="3277"/>
        </w:trPr>
        <w:tc>
          <w:tcPr>
            <w:tcW w:w="722" w:type="dxa"/>
            <w:textDirection w:val="tbRl"/>
            <w:vAlign w:val="center"/>
          </w:tcPr>
          <w:p w14:paraId="7681A6D0" w14:textId="77777777" w:rsidR="00CC6CA5" w:rsidRPr="00CC6CA5" w:rsidRDefault="00B644CA" w:rsidP="00DD72A3">
            <w:pPr>
              <w:spacing w:before="240"/>
              <w:ind w:left="113" w:right="113"/>
              <w:jc w:val="center"/>
            </w:pPr>
            <w:r>
              <w:t>Lösung 5</w:t>
            </w:r>
          </w:p>
        </w:tc>
        <w:tc>
          <w:tcPr>
            <w:tcW w:w="3811" w:type="dxa"/>
            <w:tcBorders>
              <w:right w:val="dashSmallGap" w:sz="4" w:space="0" w:color="auto"/>
            </w:tcBorders>
            <w:vAlign w:val="center"/>
          </w:tcPr>
          <w:p w14:paraId="66E96934" w14:textId="77777777" w:rsidR="00CC6CA5" w:rsidRDefault="00D65C50" w:rsidP="00642BF6">
            <w:pPr>
              <w:spacing w:before="120" w:after="120"/>
              <w:jc w:val="left"/>
            </w:pPr>
            <w:r>
              <w:t>Es müssen sechs negative Ladungen ausgeglichen werden, weil</w:t>
            </w:r>
            <w:r w:rsidR="00E7602C">
              <w:t xml:space="preserve"> die </w:t>
            </w:r>
            <w:r w:rsidR="000265D1">
              <w:t xml:space="preserve">3 </w:t>
            </w:r>
            <w:r w:rsidR="00E7602C">
              <w:t>unten rechts an der Klammer</w:t>
            </w:r>
            <w:r w:rsidR="00B644CA">
              <w:t xml:space="preserve"> </w:t>
            </w:r>
            <w:r w:rsidR="004E1288">
              <w:t>„</w:t>
            </w:r>
            <w:r w:rsidR="00B644CA">
              <w:t>(CO</w:t>
            </w:r>
            <w:r w:rsidR="00B644CA" w:rsidRPr="00D65C50">
              <w:rPr>
                <w:vertAlign w:val="subscript"/>
              </w:rPr>
              <w:t>3</w:t>
            </w:r>
            <w:r w:rsidR="00B644CA">
              <w:rPr>
                <w:vertAlign w:val="superscript"/>
              </w:rPr>
              <w:t>2-</w:t>
            </w:r>
            <w:r w:rsidR="00B644CA">
              <w:t>)</w:t>
            </w:r>
            <w:r w:rsidR="00B644CA" w:rsidRPr="00D65C50">
              <w:rPr>
                <w:vertAlign w:val="subscript"/>
              </w:rPr>
              <w:t>3</w:t>
            </w:r>
            <w:r w:rsidR="004E1288" w:rsidRPr="004E1288">
              <w:rPr>
                <w:vertAlign w:val="superscript"/>
              </w:rPr>
              <w:t>“</w:t>
            </w:r>
            <w:r w:rsidR="00E7602C">
              <w:t xml:space="preserve"> anzeigt, dass </w:t>
            </w:r>
            <w:r w:rsidR="000265D1">
              <w:t xml:space="preserve">die Verhältnisformel drei </w:t>
            </w:r>
            <w:r>
              <w:t xml:space="preserve">Carbonat-Ionen </w:t>
            </w:r>
            <w:r w:rsidR="000265D1">
              <w:t>enthält</w:t>
            </w:r>
            <w:r w:rsidR="00E7602C">
              <w:t xml:space="preserve">. Das Carbonat-Ion </w:t>
            </w:r>
            <w:r>
              <w:t>CO</w:t>
            </w:r>
            <w:r>
              <w:rPr>
                <w:vertAlign w:val="subscript"/>
              </w:rPr>
              <w:t>3</w:t>
            </w:r>
            <w:r w:rsidR="00E7602C">
              <w:rPr>
                <w:vertAlign w:val="superscript"/>
              </w:rPr>
              <w:t>2-</w:t>
            </w:r>
            <w:r w:rsidR="00E7602C">
              <w:t xml:space="preserve"> besitzt zwei negative Ladungen und drei mal zwei negative Ladungen ergeben sechs negative Ladungen.</w:t>
            </w:r>
          </w:p>
          <w:p w14:paraId="2375E29C" w14:textId="77777777" w:rsidR="00E7602C" w:rsidRPr="00E7602C" w:rsidRDefault="00E7602C" w:rsidP="003225DF">
            <w:pPr>
              <w:spacing w:before="120" w:after="120"/>
              <w:jc w:val="left"/>
            </w:pPr>
            <w:r>
              <w:t xml:space="preserve">3 </w:t>
            </w:r>
            <w:r w:rsidR="003225DF">
              <w:rPr>
                <w:rFonts w:cs="Arial"/>
              </w:rPr>
              <w:t>•</w:t>
            </w:r>
            <w:r>
              <w:t xml:space="preserve"> (-2) = -</w:t>
            </w:r>
            <w:r w:rsidR="003225DF">
              <w:t xml:space="preserve"> </w:t>
            </w:r>
            <w:r>
              <w:t>6</w:t>
            </w:r>
          </w:p>
        </w:tc>
        <w:tc>
          <w:tcPr>
            <w:tcW w:w="565" w:type="dxa"/>
            <w:tcBorders>
              <w:left w:val="dashSmallGap" w:sz="4" w:space="0" w:color="auto"/>
            </w:tcBorders>
            <w:textDirection w:val="tbRl"/>
            <w:vAlign w:val="center"/>
          </w:tcPr>
          <w:p w14:paraId="7C8331AA" w14:textId="77777777" w:rsidR="00CC6CA5" w:rsidRPr="00CC6CA5" w:rsidRDefault="00B644CA" w:rsidP="00DD72A3">
            <w:pPr>
              <w:spacing w:before="240"/>
              <w:ind w:left="113" w:right="113"/>
              <w:jc w:val="center"/>
            </w:pPr>
            <w:r>
              <w:t>Aufgabe 6</w:t>
            </w:r>
          </w:p>
        </w:tc>
        <w:tc>
          <w:tcPr>
            <w:tcW w:w="3962" w:type="dxa"/>
          </w:tcPr>
          <w:p w14:paraId="50155366" w14:textId="77777777" w:rsidR="00CC6CA5" w:rsidRDefault="00E7602C" w:rsidP="00DD72A3">
            <w:pPr>
              <w:spacing w:before="240"/>
              <w:jc w:val="left"/>
            </w:pPr>
            <w:r>
              <w:t>Setze die folg</w:t>
            </w:r>
            <w:r w:rsidR="00B644CA">
              <w:t xml:space="preserve">enden Ionen zu zwei </w:t>
            </w:r>
            <w:r>
              <w:t>Verhältnisformeln zusammen.</w:t>
            </w:r>
          </w:p>
          <w:p w14:paraId="5D2D47A5" w14:textId="77777777" w:rsidR="001D7ECC" w:rsidRPr="001D7ECC" w:rsidRDefault="004E1288" w:rsidP="0004152E">
            <w:pPr>
              <w:pStyle w:val="Listenabsatz"/>
              <w:numPr>
                <w:ilvl w:val="0"/>
                <w:numId w:val="24"/>
              </w:numPr>
              <w:spacing w:before="240"/>
              <w:jc w:val="left"/>
            </w:pPr>
            <w:r>
              <w:t xml:space="preserve">3 </w:t>
            </w:r>
            <w:r w:rsidR="001D7ECC">
              <w:t>Mg</w:t>
            </w:r>
            <w:r w:rsidR="001D7ECC">
              <w:rPr>
                <w:vertAlign w:val="superscript"/>
              </w:rPr>
              <w:t>2+</w:t>
            </w:r>
          </w:p>
          <w:p w14:paraId="2D226BBF" w14:textId="77777777" w:rsidR="004E1288" w:rsidRPr="004E1288" w:rsidRDefault="00E7602C" w:rsidP="0004152E">
            <w:pPr>
              <w:pStyle w:val="Listenabsatz"/>
              <w:numPr>
                <w:ilvl w:val="0"/>
                <w:numId w:val="24"/>
              </w:numPr>
              <w:spacing w:before="240"/>
              <w:jc w:val="left"/>
            </w:pPr>
            <w:r>
              <w:t>NH</w:t>
            </w:r>
            <w:r>
              <w:rPr>
                <w:vertAlign w:val="subscript"/>
              </w:rPr>
              <w:t>4</w:t>
            </w:r>
            <w:r w:rsidR="001D7ECC">
              <w:rPr>
                <w:vertAlign w:val="superscript"/>
              </w:rPr>
              <w:t>+</w:t>
            </w:r>
          </w:p>
          <w:p w14:paraId="1C8C39F5" w14:textId="77777777" w:rsidR="00E7602C" w:rsidRDefault="00E7602C" w:rsidP="0004152E">
            <w:pPr>
              <w:pStyle w:val="Listenabsatz"/>
              <w:numPr>
                <w:ilvl w:val="0"/>
                <w:numId w:val="24"/>
              </w:numPr>
              <w:spacing w:before="240"/>
              <w:jc w:val="left"/>
            </w:pPr>
            <w:r>
              <w:t>Cl</w:t>
            </w:r>
            <w:r w:rsidR="004E1288" w:rsidRPr="004E1288">
              <w:rPr>
                <w:vertAlign w:val="superscript"/>
              </w:rPr>
              <w:t>–</w:t>
            </w:r>
          </w:p>
          <w:p w14:paraId="4A982EFD" w14:textId="77777777" w:rsidR="00E7602C" w:rsidRPr="00D65C50" w:rsidRDefault="004E1288" w:rsidP="0004152E">
            <w:pPr>
              <w:pStyle w:val="Listenabsatz"/>
              <w:numPr>
                <w:ilvl w:val="0"/>
                <w:numId w:val="24"/>
              </w:numPr>
              <w:spacing w:before="240"/>
              <w:jc w:val="left"/>
            </w:pPr>
            <w:r>
              <w:t xml:space="preserve">2 </w:t>
            </w:r>
            <w:r w:rsidR="00E7602C">
              <w:t>PO</w:t>
            </w:r>
            <w:r w:rsidR="00E7602C" w:rsidRPr="00D65C50">
              <w:rPr>
                <w:vertAlign w:val="subscript"/>
              </w:rPr>
              <w:t>4</w:t>
            </w:r>
            <w:r w:rsidR="00642BF6">
              <w:rPr>
                <w:vertAlign w:val="superscript"/>
              </w:rPr>
              <w:t>3</w:t>
            </w:r>
            <w:r>
              <w:rPr>
                <w:vertAlign w:val="superscript"/>
              </w:rPr>
              <w:t>–</w:t>
            </w:r>
          </w:p>
          <w:p w14:paraId="4B4F8896" w14:textId="77777777" w:rsidR="00E7602C" w:rsidRPr="00DD72A3" w:rsidRDefault="00E7602C" w:rsidP="00B644CA">
            <w:pPr>
              <w:pStyle w:val="Listenabsatz"/>
              <w:spacing w:before="240"/>
              <w:jc w:val="left"/>
            </w:pPr>
          </w:p>
        </w:tc>
      </w:tr>
      <w:tr w:rsidR="00B644CA" w14:paraId="19BD5773" w14:textId="77777777" w:rsidTr="003225DF">
        <w:trPr>
          <w:cantSplit/>
          <w:trHeight w:hRule="exact" w:val="3277"/>
        </w:trPr>
        <w:tc>
          <w:tcPr>
            <w:tcW w:w="722" w:type="dxa"/>
            <w:textDirection w:val="tbRl"/>
            <w:vAlign w:val="center"/>
          </w:tcPr>
          <w:p w14:paraId="04D3CAFB" w14:textId="77777777" w:rsidR="00CC6CA5" w:rsidRPr="00CC6CA5" w:rsidRDefault="00B644CA" w:rsidP="00DD72A3">
            <w:pPr>
              <w:spacing w:before="240"/>
              <w:ind w:left="113" w:right="113"/>
              <w:jc w:val="center"/>
            </w:pPr>
            <w:r>
              <w:t>Lösung 6</w:t>
            </w:r>
          </w:p>
        </w:tc>
        <w:tc>
          <w:tcPr>
            <w:tcW w:w="3811" w:type="dxa"/>
            <w:tcBorders>
              <w:right w:val="dashSmallGap" w:sz="4" w:space="0" w:color="auto"/>
            </w:tcBorders>
            <w:vAlign w:val="center"/>
          </w:tcPr>
          <w:p w14:paraId="4C1EA47F" w14:textId="77777777" w:rsidR="00CC6CA5" w:rsidRPr="00E7602C" w:rsidRDefault="00E7602C" w:rsidP="0004152E">
            <w:pPr>
              <w:pStyle w:val="Listenabsatz"/>
              <w:numPr>
                <w:ilvl w:val="0"/>
                <w:numId w:val="25"/>
              </w:numPr>
              <w:spacing w:before="240"/>
              <w:jc w:val="left"/>
            </w:pPr>
            <w:r w:rsidRPr="00E7602C">
              <w:t>Mg</w:t>
            </w:r>
            <w:r w:rsidRPr="00E7602C">
              <w:rPr>
                <w:vertAlign w:val="subscript"/>
              </w:rPr>
              <w:t>3</w:t>
            </w:r>
            <w:r>
              <w:t>(</w:t>
            </w:r>
            <w:r w:rsidRPr="00E7602C">
              <w:t>PO</w:t>
            </w:r>
            <w:r w:rsidRPr="00E7602C">
              <w:rPr>
                <w:vertAlign w:val="subscript"/>
              </w:rPr>
              <w:t>4</w:t>
            </w:r>
            <w:r>
              <w:t>)</w:t>
            </w:r>
            <w:r>
              <w:rPr>
                <w:vertAlign w:val="subscript"/>
              </w:rPr>
              <w:t>2</w:t>
            </w:r>
          </w:p>
          <w:p w14:paraId="4E998782" w14:textId="77777777" w:rsidR="00E7602C" w:rsidRPr="00DD72A3" w:rsidRDefault="00E7602C" w:rsidP="0004152E">
            <w:pPr>
              <w:pStyle w:val="Listenabsatz"/>
              <w:numPr>
                <w:ilvl w:val="0"/>
                <w:numId w:val="25"/>
              </w:numPr>
              <w:spacing w:before="240"/>
              <w:jc w:val="left"/>
            </w:pPr>
            <w:r>
              <w:t>NH</w:t>
            </w:r>
            <w:r>
              <w:rPr>
                <w:vertAlign w:val="subscript"/>
              </w:rPr>
              <w:t>4</w:t>
            </w:r>
            <w:r>
              <w:t>Cl</w:t>
            </w:r>
          </w:p>
        </w:tc>
        <w:tc>
          <w:tcPr>
            <w:tcW w:w="565" w:type="dxa"/>
            <w:tcBorders>
              <w:left w:val="dashSmallGap" w:sz="4" w:space="0" w:color="auto"/>
            </w:tcBorders>
            <w:textDirection w:val="tbRl"/>
            <w:vAlign w:val="center"/>
          </w:tcPr>
          <w:p w14:paraId="72F06B3A" w14:textId="77777777" w:rsidR="00CC6CA5" w:rsidRPr="00CC6CA5" w:rsidRDefault="00B644CA" w:rsidP="00DD72A3">
            <w:pPr>
              <w:spacing w:before="240"/>
              <w:ind w:left="113" w:right="113"/>
              <w:jc w:val="center"/>
            </w:pPr>
            <w:r>
              <w:t>Aufgabe 7</w:t>
            </w:r>
          </w:p>
        </w:tc>
        <w:tc>
          <w:tcPr>
            <w:tcW w:w="3962" w:type="dxa"/>
          </w:tcPr>
          <w:p w14:paraId="0C4E8A95" w14:textId="77777777" w:rsidR="00CC6CA5" w:rsidRDefault="00B644CA" w:rsidP="00DD72A3">
            <w:pPr>
              <w:spacing w:before="240"/>
              <w:jc w:val="left"/>
            </w:pPr>
            <w:r>
              <w:t xml:space="preserve">Begründe schriftlich, weshalb diese beiden </w:t>
            </w:r>
            <w:r w:rsidR="00D93438">
              <w:t>Formeln richtig sind.</w:t>
            </w:r>
          </w:p>
          <w:p w14:paraId="3C272901" w14:textId="77777777" w:rsidR="00B644CA" w:rsidRPr="00B644CA" w:rsidRDefault="00B644CA" w:rsidP="0004152E">
            <w:pPr>
              <w:pStyle w:val="Listenabsatz"/>
              <w:numPr>
                <w:ilvl w:val="0"/>
                <w:numId w:val="26"/>
              </w:numPr>
              <w:spacing w:before="240" w:after="160"/>
              <w:jc w:val="left"/>
            </w:pPr>
            <w:r w:rsidRPr="00E7602C">
              <w:t>Mg</w:t>
            </w:r>
            <w:r w:rsidRPr="00E7602C">
              <w:rPr>
                <w:vertAlign w:val="subscript"/>
              </w:rPr>
              <w:t>3</w:t>
            </w:r>
            <w:r>
              <w:t>(</w:t>
            </w:r>
            <w:r w:rsidRPr="00E7602C">
              <w:t>PO</w:t>
            </w:r>
            <w:r w:rsidRPr="00E7602C">
              <w:rPr>
                <w:vertAlign w:val="subscript"/>
              </w:rPr>
              <w:t>4</w:t>
            </w:r>
            <w:r>
              <w:t>)</w:t>
            </w:r>
            <w:r>
              <w:rPr>
                <w:vertAlign w:val="subscript"/>
              </w:rPr>
              <w:t>2</w:t>
            </w:r>
          </w:p>
          <w:p w14:paraId="455CF204" w14:textId="77777777" w:rsidR="00B644CA" w:rsidRPr="00DD72A3" w:rsidRDefault="00B644CA" w:rsidP="0004152E">
            <w:pPr>
              <w:pStyle w:val="Listenabsatz"/>
              <w:numPr>
                <w:ilvl w:val="0"/>
                <w:numId w:val="26"/>
              </w:numPr>
              <w:spacing w:before="240" w:after="160"/>
              <w:jc w:val="left"/>
            </w:pPr>
            <w:r>
              <w:t>NH</w:t>
            </w:r>
            <w:r w:rsidRPr="00B644CA">
              <w:rPr>
                <w:vertAlign w:val="subscript"/>
              </w:rPr>
              <w:t>4</w:t>
            </w:r>
            <w:r>
              <w:t>Cl</w:t>
            </w:r>
          </w:p>
        </w:tc>
      </w:tr>
      <w:tr w:rsidR="00B644CA" w14:paraId="7C9EB45C" w14:textId="77777777" w:rsidTr="003225DF">
        <w:trPr>
          <w:cantSplit/>
          <w:trHeight w:hRule="exact" w:val="3277"/>
        </w:trPr>
        <w:tc>
          <w:tcPr>
            <w:tcW w:w="722" w:type="dxa"/>
            <w:textDirection w:val="tbRl"/>
            <w:vAlign w:val="center"/>
          </w:tcPr>
          <w:p w14:paraId="0FD0A202" w14:textId="77777777" w:rsidR="00CC6CA5" w:rsidRPr="00CC6CA5" w:rsidRDefault="00B644CA" w:rsidP="00DD72A3">
            <w:pPr>
              <w:spacing w:before="240"/>
              <w:ind w:left="113" w:right="113"/>
              <w:jc w:val="center"/>
            </w:pPr>
            <w:r>
              <w:t>Lösung 7</w:t>
            </w:r>
          </w:p>
        </w:tc>
        <w:tc>
          <w:tcPr>
            <w:tcW w:w="3811" w:type="dxa"/>
            <w:tcBorders>
              <w:right w:val="dashSmallGap" w:sz="4" w:space="0" w:color="auto"/>
            </w:tcBorders>
            <w:vAlign w:val="center"/>
          </w:tcPr>
          <w:p w14:paraId="51E3E84A" w14:textId="2CADEF9E" w:rsidR="003225DF" w:rsidRDefault="00DD197C" w:rsidP="003225DF">
            <w:pPr>
              <w:spacing w:before="60" w:after="60"/>
              <w:contextualSpacing/>
              <w:jc w:val="left"/>
            </w:pPr>
            <w:r>
              <w:t>Ionenverbindungen sind elektrisch ungeladen, d. h. die positiven und die negativen Ladungen gleichen sich aus. Das Phosphat-Ion ist dreifach negativ geladen und das Magnesium-Ion zweifach positiv. Das kleinste gemeinsame Vielfach</w:t>
            </w:r>
            <w:r w:rsidR="00D93438">
              <w:t>e</w:t>
            </w:r>
            <w:r>
              <w:t xml:space="preserve"> ist also sechs. </w:t>
            </w:r>
            <w:r w:rsidR="00671D17">
              <w:t>Man benötigt</w:t>
            </w:r>
            <w:bookmarkStart w:id="0" w:name="_GoBack"/>
            <w:bookmarkEnd w:id="0"/>
            <w:r>
              <w:t xml:space="preserve"> folglich drei zweifach positive Magnesium-Ionen (3</w:t>
            </w:r>
            <w:r w:rsidR="003225DF">
              <w:t xml:space="preserve"> </w:t>
            </w:r>
            <w:r w:rsidR="003225DF">
              <w:rPr>
                <w:rFonts w:cs="Arial"/>
              </w:rPr>
              <w:t xml:space="preserve">• </w:t>
            </w:r>
            <w:r>
              <w:t>2</w:t>
            </w:r>
            <w:r w:rsidR="00D93438">
              <w:t xml:space="preserve"> </w:t>
            </w:r>
            <w:r>
              <w:t>=</w:t>
            </w:r>
            <w:r w:rsidR="00D93438">
              <w:t xml:space="preserve"> </w:t>
            </w:r>
            <w:r>
              <w:t xml:space="preserve">6) und zwei dreifach negative Phosphat-Ionen </w:t>
            </w:r>
          </w:p>
          <w:p w14:paraId="2F533640" w14:textId="77777777" w:rsidR="00DD197C" w:rsidRPr="00DD72A3" w:rsidRDefault="00DD197C" w:rsidP="003225DF">
            <w:pPr>
              <w:spacing w:before="60" w:after="60"/>
              <w:contextualSpacing/>
              <w:jc w:val="left"/>
            </w:pPr>
            <w:r>
              <w:t>(2</w:t>
            </w:r>
            <w:r w:rsidR="003225DF">
              <w:t xml:space="preserve"> </w:t>
            </w:r>
            <w:r w:rsidR="003225DF">
              <w:rPr>
                <w:rFonts w:cs="Arial"/>
              </w:rPr>
              <w:t xml:space="preserve">• </w:t>
            </w:r>
            <w:r>
              <w:t>(-3) =  -</w:t>
            </w:r>
            <w:r w:rsidR="003225DF">
              <w:t xml:space="preserve"> </w:t>
            </w:r>
            <w:r>
              <w:t>6).</w:t>
            </w:r>
          </w:p>
        </w:tc>
        <w:tc>
          <w:tcPr>
            <w:tcW w:w="565" w:type="dxa"/>
            <w:tcBorders>
              <w:left w:val="dashSmallGap" w:sz="4" w:space="0" w:color="auto"/>
            </w:tcBorders>
            <w:textDirection w:val="tbRl"/>
            <w:vAlign w:val="center"/>
          </w:tcPr>
          <w:p w14:paraId="26550726" w14:textId="77777777" w:rsidR="00CC6CA5" w:rsidRPr="00CC6CA5" w:rsidRDefault="00CC6CA5" w:rsidP="00DD72A3">
            <w:pPr>
              <w:spacing w:before="240"/>
              <w:ind w:left="113" w:right="113"/>
              <w:jc w:val="center"/>
            </w:pPr>
          </w:p>
        </w:tc>
        <w:tc>
          <w:tcPr>
            <w:tcW w:w="3962" w:type="dxa"/>
          </w:tcPr>
          <w:p w14:paraId="270004BD" w14:textId="77777777" w:rsidR="00B644CA" w:rsidRDefault="00B644CA" w:rsidP="00DD72A3">
            <w:pPr>
              <w:spacing w:before="240"/>
              <w:jc w:val="left"/>
            </w:pPr>
          </w:p>
          <w:p w14:paraId="46C28886" w14:textId="77777777" w:rsidR="00B644CA" w:rsidRDefault="00B644CA" w:rsidP="00DD72A3">
            <w:pPr>
              <w:spacing w:before="240"/>
              <w:jc w:val="left"/>
            </w:pPr>
          </w:p>
          <w:p w14:paraId="2FFC498F" w14:textId="77777777" w:rsidR="00CC6CA5" w:rsidRPr="00DD72A3" w:rsidRDefault="00B644CA" w:rsidP="00DD72A3">
            <w:pPr>
              <w:spacing w:before="240"/>
              <w:jc w:val="left"/>
            </w:pPr>
            <w:r>
              <w:t>Gut gemacht!!</w:t>
            </w:r>
          </w:p>
        </w:tc>
      </w:tr>
    </w:tbl>
    <w:p w14:paraId="6F7A1D36" w14:textId="77777777" w:rsidR="00DD197C" w:rsidRDefault="00DD197C" w:rsidP="004C1A86">
      <w:pPr>
        <w:jc w:val="center"/>
        <w:rPr>
          <w:b/>
          <w:u w:val="single"/>
        </w:rPr>
      </w:pPr>
    </w:p>
    <w:p w14:paraId="3ABFA11F" w14:textId="77777777" w:rsidR="00DD197C" w:rsidRDefault="00DD197C">
      <w:pPr>
        <w:spacing w:line="259" w:lineRule="auto"/>
        <w:jc w:val="left"/>
        <w:rPr>
          <w:b/>
          <w:u w:val="single"/>
        </w:rPr>
      </w:pPr>
    </w:p>
    <w:sectPr w:rsidR="00DD197C" w:rsidSect="007B1315">
      <w:footerReference w:type="default" r:id="rId7"/>
      <w:pgSz w:w="11906" w:h="16838"/>
      <w:pgMar w:top="113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2B56FE" w14:textId="77777777" w:rsidR="00A20BA6" w:rsidRDefault="00A20BA6" w:rsidP="00B75AC0">
      <w:pPr>
        <w:spacing w:after="0"/>
      </w:pPr>
      <w:r>
        <w:separator/>
      </w:r>
    </w:p>
  </w:endnote>
  <w:endnote w:type="continuationSeparator" w:id="0">
    <w:p w14:paraId="71E3F7C0" w14:textId="77777777" w:rsidR="00A20BA6" w:rsidRDefault="00A20BA6" w:rsidP="00B75A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1E794" w14:textId="534C9CD6" w:rsidR="0004152E" w:rsidRDefault="0004152E">
    <w:pPr>
      <w:pStyle w:val="Fuzeile"/>
    </w:pPr>
    <w:r w:rsidRPr="009F19C1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6EF65013" wp14:editId="7A6AD1B9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062000" cy="504000"/>
          <wp:effectExtent l="0" t="0" r="5080" b="0"/>
          <wp:wrapNone/>
          <wp:docPr id="9" name="Grafik 9" descr="C:\Users\Helena\Documents\QUA-LiS\SINUS\SINU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lena\Documents\QUA-LiS\SINUS\SINUS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ED8C1FF" w14:textId="77777777" w:rsidR="00B75AC0" w:rsidRDefault="00B75AC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6AEE8E" w14:textId="77777777" w:rsidR="00A20BA6" w:rsidRDefault="00A20BA6" w:rsidP="00B75AC0">
      <w:pPr>
        <w:spacing w:after="0"/>
      </w:pPr>
      <w:r>
        <w:separator/>
      </w:r>
    </w:p>
  </w:footnote>
  <w:footnote w:type="continuationSeparator" w:id="0">
    <w:p w14:paraId="68AA809A" w14:textId="77777777" w:rsidR="00A20BA6" w:rsidRDefault="00A20BA6" w:rsidP="00B75AC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1C15"/>
    <w:multiLevelType w:val="hybridMultilevel"/>
    <w:tmpl w:val="B872937E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F74EE"/>
    <w:multiLevelType w:val="hybridMultilevel"/>
    <w:tmpl w:val="2892E722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338D4"/>
    <w:multiLevelType w:val="hybridMultilevel"/>
    <w:tmpl w:val="365A7D5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A2360"/>
    <w:multiLevelType w:val="hybridMultilevel"/>
    <w:tmpl w:val="E4762F88"/>
    <w:lvl w:ilvl="0" w:tplc="D1A2E8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310EA"/>
    <w:multiLevelType w:val="hybridMultilevel"/>
    <w:tmpl w:val="2892E722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43E12"/>
    <w:multiLevelType w:val="hybridMultilevel"/>
    <w:tmpl w:val="2892E722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4296A"/>
    <w:multiLevelType w:val="hybridMultilevel"/>
    <w:tmpl w:val="2262650E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1F6355"/>
    <w:multiLevelType w:val="hybridMultilevel"/>
    <w:tmpl w:val="D994A56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45249"/>
    <w:multiLevelType w:val="hybridMultilevel"/>
    <w:tmpl w:val="2AAEDEC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64DCA"/>
    <w:multiLevelType w:val="hybridMultilevel"/>
    <w:tmpl w:val="B872937E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97EAE"/>
    <w:multiLevelType w:val="multilevel"/>
    <w:tmpl w:val="38D252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32DB3B31"/>
    <w:multiLevelType w:val="hybridMultilevel"/>
    <w:tmpl w:val="1DB2804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1977A9"/>
    <w:multiLevelType w:val="hybridMultilevel"/>
    <w:tmpl w:val="FC225792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E4997"/>
    <w:multiLevelType w:val="hybridMultilevel"/>
    <w:tmpl w:val="AF9A46C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AC5134"/>
    <w:multiLevelType w:val="hybridMultilevel"/>
    <w:tmpl w:val="B872937E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A1EAE"/>
    <w:multiLevelType w:val="hybridMultilevel"/>
    <w:tmpl w:val="B872937E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6C0149"/>
    <w:multiLevelType w:val="hybridMultilevel"/>
    <w:tmpl w:val="EE9C7D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F330AC"/>
    <w:multiLevelType w:val="hybridMultilevel"/>
    <w:tmpl w:val="53B84054"/>
    <w:lvl w:ilvl="0" w:tplc="D1A2E8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7C6B93"/>
    <w:multiLevelType w:val="hybridMultilevel"/>
    <w:tmpl w:val="6356388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ED490A"/>
    <w:multiLevelType w:val="hybridMultilevel"/>
    <w:tmpl w:val="2892E722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FE4484"/>
    <w:multiLevelType w:val="hybridMultilevel"/>
    <w:tmpl w:val="705269C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1E5709"/>
    <w:multiLevelType w:val="hybridMultilevel"/>
    <w:tmpl w:val="7FB4867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8A7B26"/>
    <w:multiLevelType w:val="hybridMultilevel"/>
    <w:tmpl w:val="615A16FA"/>
    <w:lvl w:ilvl="0" w:tplc="04070017">
      <w:start w:val="1"/>
      <w:numFmt w:val="lowerLetter"/>
      <w:lvlText w:val="%1)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7F07DA6"/>
    <w:multiLevelType w:val="hybridMultilevel"/>
    <w:tmpl w:val="3FB8D63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2C51A2"/>
    <w:multiLevelType w:val="hybridMultilevel"/>
    <w:tmpl w:val="2892E722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D43C1F"/>
    <w:multiLevelType w:val="hybridMultilevel"/>
    <w:tmpl w:val="2892E722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"/>
  </w:num>
  <w:num w:numId="3">
    <w:abstractNumId w:val="10"/>
  </w:num>
  <w:num w:numId="4">
    <w:abstractNumId w:val="10"/>
    <w:lvlOverride w:ilvl="0">
      <w:startOverride w:val="1"/>
    </w:lvlOverride>
  </w:num>
  <w:num w:numId="5">
    <w:abstractNumId w:val="8"/>
  </w:num>
  <w:num w:numId="6">
    <w:abstractNumId w:val="17"/>
  </w:num>
  <w:num w:numId="7">
    <w:abstractNumId w:val="3"/>
  </w:num>
  <w:num w:numId="8">
    <w:abstractNumId w:val="12"/>
  </w:num>
  <w:num w:numId="9">
    <w:abstractNumId w:val="4"/>
  </w:num>
  <w:num w:numId="10">
    <w:abstractNumId w:val="1"/>
  </w:num>
  <w:num w:numId="11">
    <w:abstractNumId w:val="6"/>
  </w:num>
  <w:num w:numId="12">
    <w:abstractNumId w:val="5"/>
  </w:num>
  <w:num w:numId="13">
    <w:abstractNumId w:val="25"/>
  </w:num>
  <w:num w:numId="14">
    <w:abstractNumId w:val="24"/>
  </w:num>
  <w:num w:numId="15">
    <w:abstractNumId w:val="19"/>
  </w:num>
  <w:num w:numId="16">
    <w:abstractNumId w:val="14"/>
  </w:num>
  <w:num w:numId="17">
    <w:abstractNumId w:val="0"/>
  </w:num>
  <w:num w:numId="18">
    <w:abstractNumId w:val="15"/>
  </w:num>
  <w:num w:numId="19">
    <w:abstractNumId w:val="9"/>
  </w:num>
  <w:num w:numId="20">
    <w:abstractNumId w:val="18"/>
  </w:num>
  <w:num w:numId="21">
    <w:abstractNumId w:val="20"/>
  </w:num>
  <w:num w:numId="22">
    <w:abstractNumId w:val="23"/>
  </w:num>
  <w:num w:numId="23">
    <w:abstractNumId w:val="21"/>
  </w:num>
  <w:num w:numId="24">
    <w:abstractNumId w:val="22"/>
  </w:num>
  <w:num w:numId="25">
    <w:abstractNumId w:val="13"/>
  </w:num>
  <w:num w:numId="26">
    <w:abstractNumId w:val="1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AC0"/>
    <w:rsid w:val="000265D1"/>
    <w:rsid w:val="000309B0"/>
    <w:rsid w:val="00031270"/>
    <w:rsid w:val="000320E5"/>
    <w:rsid w:val="00036766"/>
    <w:rsid w:val="0004152E"/>
    <w:rsid w:val="000478F3"/>
    <w:rsid w:val="0005211D"/>
    <w:rsid w:val="00062D9B"/>
    <w:rsid w:val="00087164"/>
    <w:rsid w:val="000A0677"/>
    <w:rsid w:val="000A10E4"/>
    <w:rsid w:val="000C1CF5"/>
    <w:rsid w:val="000C2091"/>
    <w:rsid w:val="000E7815"/>
    <w:rsid w:val="000F4006"/>
    <w:rsid w:val="00104B16"/>
    <w:rsid w:val="001078AB"/>
    <w:rsid w:val="0011076E"/>
    <w:rsid w:val="001208DE"/>
    <w:rsid w:val="001243BE"/>
    <w:rsid w:val="00125966"/>
    <w:rsid w:val="00135774"/>
    <w:rsid w:val="001732BA"/>
    <w:rsid w:val="00181A9B"/>
    <w:rsid w:val="001847DA"/>
    <w:rsid w:val="00194456"/>
    <w:rsid w:val="001A7A03"/>
    <w:rsid w:val="001B20BB"/>
    <w:rsid w:val="001C4BC8"/>
    <w:rsid w:val="001D7ECC"/>
    <w:rsid w:val="00202B2F"/>
    <w:rsid w:val="00281A87"/>
    <w:rsid w:val="00283AA0"/>
    <w:rsid w:val="002C4211"/>
    <w:rsid w:val="002E0798"/>
    <w:rsid w:val="00300E92"/>
    <w:rsid w:val="0031385A"/>
    <w:rsid w:val="003225DF"/>
    <w:rsid w:val="003374FA"/>
    <w:rsid w:val="00342212"/>
    <w:rsid w:val="00370321"/>
    <w:rsid w:val="00384E92"/>
    <w:rsid w:val="003A3625"/>
    <w:rsid w:val="003B50CA"/>
    <w:rsid w:val="003B569F"/>
    <w:rsid w:val="004356EB"/>
    <w:rsid w:val="00445431"/>
    <w:rsid w:val="00480EE7"/>
    <w:rsid w:val="00490F3F"/>
    <w:rsid w:val="0049743A"/>
    <w:rsid w:val="004A059C"/>
    <w:rsid w:val="004B07A0"/>
    <w:rsid w:val="004C00D4"/>
    <w:rsid w:val="004C1A86"/>
    <w:rsid w:val="004E1288"/>
    <w:rsid w:val="004F50AC"/>
    <w:rsid w:val="0051685F"/>
    <w:rsid w:val="00536742"/>
    <w:rsid w:val="005852DC"/>
    <w:rsid w:val="00595A4F"/>
    <w:rsid w:val="005D3876"/>
    <w:rsid w:val="00614718"/>
    <w:rsid w:val="00616B60"/>
    <w:rsid w:val="00642BF6"/>
    <w:rsid w:val="00663391"/>
    <w:rsid w:val="00671D17"/>
    <w:rsid w:val="0069203C"/>
    <w:rsid w:val="006B115F"/>
    <w:rsid w:val="006C1B16"/>
    <w:rsid w:val="006C44AE"/>
    <w:rsid w:val="006C5975"/>
    <w:rsid w:val="006F7788"/>
    <w:rsid w:val="00723EF2"/>
    <w:rsid w:val="00743D40"/>
    <w:rsid w:val="00744F1E"/>
    <w:rsid w:val="00751682"/>
    <w:rsid w:val="007875D1"/>
    <w:rsid w:val="007B1315"/>
    <w:rsid w:val="007E4ABB"/>
    <w:rsid w:val="007E4CFF"/>
    <w:rsid w:val="008220CC"/>
    <w:rsid w:val="00864E7B"/>
    <w:rsid w:val="008654F9"/>
    <w:rsid w:val="008A59B4"/>
    <w:rsid w:val="008C50E8"/>
    <w:rsid w:val="008D774B"/>
    <w:rsid w:val="008F23F3"/>
    <w:rsid w:val="009329E6"/>
    <w:rsid w:val="00934440"/>
    <w:rsid w:val="009463DA"/>
    <w:rsid w:val="00955FF4"/>
    <w:rsid w:val="009A2B41"/>
    <w:rsid w:val="009C7F6B"/>
    <w:rsid w:val="009F31A6"/>
    <w:rsid w:val="009F58DB"/>
    <w:rsid w:val="00A1453F"/>
    <w:rsid w:val="00A20BA6"/>
    <w:rsid w:val="00A37148"/>
    <w:rsid w:val="00A40EA7"/>
    <w:rsid w:val="00A4689A"/>
    <w:rsid w:val="00A64CC5"/>
    <w:rsid w:val="00AC1202"/>
    <w:rsid w:val="00AF4060"/>
    <w:rsid w:val="00B1525E"/>
    <w:rsid w:val="00B17979"/>
    <w:rsid w:val="00B40BB7"/>
    <w:rsid w:val="00B43921"/>
    <w:rsid w:val="00B5253F"/>
    <w:rsid w:val="00B6343E"/>
    <w:rsid w:val="00B644CA"/>
    <w:rsid w:val="00B74993"/>
    <w:rsid w:val="00B75AC0"/>
    <w:rsid w:val="00B8183B"/>
    <w:rsid w:val="00B87DF9"/>
    <w:rsid w:val="00BA78D7"/>
    <w:rsid w:val="00BC3E7E"/>
    <w:rsid w:val="00BE2B4E"/>
    <w:rsid w:val="00BE4501"/>
    <w:rsid w:val="00BE70F7"/>
    <w:rsid w:val="00BF7FB6"/>
    <w:rsid w:val="00C021F0"/>
    <w:rsid w:val="00C0441E"/>
    <w:rsid w:val="00C0449F"/>
    <w:rsid w:val="00C0458F"/>
    <w:rsid w:val="00C1270C"/>
    <w:rsid w:val="00C3471E"/>
    <w:rsid w:val="00C43AC3"/>
    <w:rsid w:val="00C75FF8"/>
    <w:rsid w:val="00C76374"/>
    <w:rsid w:val="00C9467B"/>
    <w:rsid w:val="00CA7825"/>
    <w:rsid w:val="00CC1CF6"/>
    <w:rsid w:val="00CC6CA5"/>
    <w:rsid w:val="00CD6D26"/>
    <w:rsid w:val="00CE0F18"/>
    <w:rsid w:val="00CF0814"/>
    <w:rsid w:val="00D32E57"/>
    <w:rsid w:val="00D40E3B"/>
    <w:rsid w:val="00D42AC9"/>
    <w:rsid w:val="00D65C50"/>
    <w:rsid w:val="00D675C9"/>
    <w:rsid w:val="00D917C3"/>
    <w:rsid w:val="00D93438"/>
    <w:rsid w:val="00DD197C"/>
    <w:rsid w:val="00DD72A3"/>
    <w:rsid w:val="00DF54A7"/>
    <w:rsid w:val="00E44F1B"/>
    <w:rsid w:val="00E71002"/>
    <w:rsid w:val="00E7602C"/>
    <w:rsid w:val="00E80A50"/>
    <w:rsid w:val="00EB568E"/>
    <w:rsid w:val="00EE1DB2"/>
    <w:rsid w:val="00F36898"/>
    <w:rsid w:val="00F70B9A"/>
    <w:rsid w:val="00F87E30"/>
    <w:rsid w:val="00F967A0"/>
    <w:rsid w:val="00FB0473"/>
    <w:rsid w:val="00FC0D04"/>
    <w:rsid w:val="00FD251F"/>
    <w:rsid w:val="00FE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D83B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D72A3"/>
    <w:pPr>
      <w:spacing w:line="240" w:lineRule="auto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E0F18"/>
    <w:pPr>
      <w:keepNext/>
      <w:keepLines/>
      <w:spacing w:before="240" w:after="0" w:line="480" w:lineRule="auto"/>
      <w:jc w:val="center"/>
      <w:outlineLvl w:val="0"/>
    </w:pPr>
    <w:rPr>
      <w:rFonts w:eastAsiaTheme="majorEastAsia" w:cstheme="majorBidi"/>
      <w:b/>
      <w:sz w:val="24"/>
      <w:szCs w:val="32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63391"/>
    <w:pPr>
      <w:keepNext/>
      <w:keepLines/>
      <w:spacing w:before="160" w:after="120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34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E0F18"/>
    <w:rPr>
      <w:rFonts w:ascii="Arial" w:eastAsiaTheme="majorEastAsia" w:hAnsi="Arial" w:cstheme="majorBidi"/>
      <w:b/>
      <w:sz w:val="24"/>
      <w:szCs w:val="32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63391"/>
    <w:rPr>
      <w:rFonts w:ascii="Arial" w:eastAsiaTheme="majorEastAsia" w:hAnsi="Arial" w:cstheme="majorBidi"/>
      <w:b/>
      <w:szCs w:val="26"/>
    </w:rPr>
  </w:style>
  <w:style w:type="paragraph" w:styleId="KeinLeerraum">
    <w:name w:val="No Spacing"/>
    <w:uiPriority w:val="1"/>
    <w:rsid w:val="00B75AC0"/>
    <w:pPr>
      <w:spacing w:after="0" w:line="240" w:lineRule="auto"/>
    </w:pPr>
    <w:rPr>
      <w:rFonts w:ascii="Arial" w:hAnsi="Arial"/>
    </w:rPr>
  </w:style>
  <w:style w:type="paragraph" w:styleId="Kopfzeile">
    <w:name w:val="header"/>
    <w:basedOn w:val="Standard"/>
    <w:link w:val="Kopf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B75AC0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B75AC0"/>
    <w:rPr>
      <w:rFonts w:ascii="Arial" w:hAnsi="Arial"/>
    </w:rPr>
  </w:style>
  <w:style w:type="paragraph" w:customStyle="1" w:styleId="Kopfzeile1">
    <w:name w:val="Kopfzeile 1"/>
    <w:basedOn w:val="Standard"/>
    <w:link w:val="Kopfzeile1Zchn"/>
    <w:qFormat/>
    <w:rsid w:val="00CE0F18"/>
    <w:pPr>
      <w:spacing w:before="120"/>
    </w:pPr>
    <w:rPr>
      <w:b/>
      <w:sz w:val="18"/>
    </w:rPr>
  </w:style>
  <w:style w:type="table" w:styleId="Tabellenraster">
    <w:name w:val="Table Grid"/>
    <w:basedOn w:val="NormaleTabelle"/>
    <w:uiPriority w:val="39"/>
    <w:rsid w:val="00C94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1Zchn">
    <w:name w:val="Kopfzeile 1 Zchn"/>
    <w:basedOn w:val="berschrift1Zchn"/>
    <w:link w:val="Kopfzeile1"/>
    <w:rsid w:val="00CE0F18"/>
    <w:rPr>
      <w:rFonts w:ascii="Arial" w:eastAsiaTheme="majorEastAsia" w:hAnsi="Arial" w:cstheme="majorBidi"/>
      <w:b/>
      <w:sz w:val="18"/>
      <w:szCs w:val="32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062D9B"/>
    <w:pPr>
      <w:spacing w:after="80"/>
    </w:pPr>
    <w:rPr>
      <w:b/>
      <w:iCs/>
      <w:color w:val="000000" w:themeColor="text1"/>
      <w:sz w:val="18"/>
      <w:szCs w:val="18"/>
    </w:rPr>
  </w:style>
  <w:style w:type="paragraph" w:styleId="Listenabsatz">
    <w:name w:val="List Paragraph"/>
    <w:basedOn w:val="Standard"/>
    <w:uiPriority w:val="34"/>
    <w:qFormat/>
    <w:rsid w:val="00D917C3"/>
    <w:pPr>
      <w:spacing w:line="360" w:lineRule="auto"/>
      <w:ind w:left="720"/>
      <w:contextualSpacing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C3471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Tabellenraster1">
    <w:name w:val="Tabellenraster1"/>
    <w:basedOn w:val="NormaleTabelle"/>
    <w:next w:val="Tabellenraster"/>
    <w:uiPriority w:val="39"/>
    <w:rsid w:val="001A7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3876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387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90F3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90F3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90F3F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0F3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0F3F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1889</Characters>
  <Application>Microsoft Office Word</Application>
  <DocSecurity>0</DocSecurity>
  <Lines>15</Lines>
  <Paragraphs>4</Paragraphs>
  <ScaleCrop>false</ScaleCrop>
  <Manager/>
  <Company/>
  <LinksUpToDate>false</LinksUpToDate>
  <CharactersWithSpaces>2184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2021-08-12T13:28:00Z</dcterms:created>
  <dcterms:modified xsi:type="dcterms:W3CDTF">2022-11-21T12:57:00Z</dcterms:modified>
  <cp:category/>
</cp:coreProperties>
</file>