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1C1704B6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E915E3">
        <w:rPr>
          <w:rFonts w:ascii="Arial" w:hAnsi="Arial" w:cs="Arial"/>
          <w:b/>
        </w:rPr>
        <w:t>6</w:t>
      </w:r>
      <w:r w:rsidRPr="0047793D">
        <w:rPr>
          <w:rFonts w:ascii="Arial" w:hAnsi="Arial" w:cs="Arial"/>
          <w:b/>
        </w:rPr>
        <w:t>:</w:t>
      </w:r>
    </w:p>
    <w:p w14:paraId="703D8B09" w14:textId="0381A4AF" w:rsidR="00E915E3" w:rsidRPr="00E915E3" w:rsidRDefault="00E915E3" w:rsidP="00E915E3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E915E3">
        <w:rPr>
          <w:rFonts w:ascii="Arial" w:hAnsi="Arial" w:cs="Arial"/>
          <w:b/>
          <w:bCs/>
        </w:rPr>
        <w:t>Stadt und Bürger im Mittelalter – die Anfänge der modernen Freiheit</w:t>
      </w:r>
    </w:p>
    <w:p w14:paraId="0C67C376" w14:textId="040BBD6D" w:rsidR="0047793D" w:rsidRDefault="0047793D" w:rsidP="00B63615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06C1E8CF" w:rsidR="0047793D" w:rsidRDefault="0047793D" w:rsidP="00B63615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14440A1E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IF 2 b): Lebenswelten im Mittelalter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4B210533" w:rsid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Die mittelalterliche Stadt: Markt, Freiheiten, Rechtssicherheit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0BB7CE58" w14:textId="77777777" w:rsidR="0047793D" w:rsidRDefault="0047793D" w:rsidP="00E915E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2573B1C4" w:rsidR="00E915E3" w:rsidRPr="0047793D" w:rsidRDefault="00E915E3" w:rsidP="00E915E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MKR 2.2 – Informationsauswertung; 4.1-4.4 Produzieren und Präsentieren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04DDFCA7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5F4A43ED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Soziales/Ökonomie (ländliche/städtische Entwicklung)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6F31A6E4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5545A117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F04D45C" w14:textId="6EE4F8A7" w:rsidR="00B63615" w:rsidRDefault="00B63615" w:rsidP="0047793D">
      <w:pPr>
        <w:spacing w:before="120" w:after="120"/>
        <w:jc w:val="both"/>
        <w:rPr>
          <w:rFonts w:ascii="Arial" w:hAnsi="Arial" w:cs="Arial"/>
          <w:b/>
        </w:rPr>
      </w:pPr>
    </w:p>
    <w:p w14:paraId="612414D4" w14:textId="403FF417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083DF7C" w14:textId="0E217CAE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5B8D097" w14:textId="0E26FF3C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91A5420" w14:textId="521A135C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4D65920E" w14:textId="77777777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6AFE81E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1D542C65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Unfreiheit auf dem Land – Freiheit in der Stadt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626DE309" w14:textId="77777777" w:rsidR="00C964BD" w:rsidRPr="0012644C" w:rsidRDefault="00C964BD" w:rsidP="0091253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CABB5F3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FF169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3BA74DEB" w14:textId="5D503719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erläutern an einem regionalen Beispiel Interessen und Motive bei der Gründung von Städten (</w:t>
            </w:r>
            <w:r w:rsidR="00426EE4">
              <w:rPr>
                <w:rFonts w:ascii="Arial" w:hAnsi="Arial" w:cs="Arial"/>
                <w:bCs/>
                <w:sz w:val="22"/>
                <w:szCs w:val="22"/>
              </w:rPr>
              <w:t>SK 1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), </w:t>
            </w:r>
          </w:p>
          <w:p w14:paraId="1C64FCE0" w14:textId="2F709E92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erklären Ursachen für die Attraktivität des Lebens in einer mittelalterlichen Stadt unter Berücksichtigung der Kategorien wirtschaftlicher sowie persönlicher Freiheit und Rechtssicherheit (</w:t>
            </w:r>
            <w:r w:rsidR="00426EE4">
              <w:rPr>
                <w:rFonts w:ascii="Arial" w:hAnsi="Arial" w:cs="Arial"/>
                <w:bCs/>
                <w:sz w:val="22"/>
                <w:szCs w:val="22"/>
              </w:rPr>
              <w:t>SK 2)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09AEE2F" w14:textId="77777777" w:rsidR="00C964BD" w:rsidRPr="00426EE4" w:rsidRDefault="00C964BD" w:rsidP="00426EE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335A4C25" w14:textId="2FC167B8" w:rsidR="00C964BD" w:rsidRPr="00426EE4" w:rsidRDefault="00D76223" w:rsidP="00426EE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beurteilen das historische Handeln von Menschen unter Berücksichtigung von Multiperspektivität und grundlegenden Kategorien (UK 2).</w:t>
            </w:r>
          </w:p>
          <w:p w14:paraId="2A27FD63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7D5934A" w14:textId="1ACC2C64" w:rsidR="00C964BD" w:rsidRPr="00EB5BDF" w:rsidRDefault="00EB5BDF" w:rsidP="00EB5BDF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EB5BDF">
              <w:rPr>
                <w:rFonts w:cs="Arial"/>
                <w:bCs/>
                <w:sz w:val="22"/>
              </w:rPr>
              <w:t>beurteilen das historische Handeln von Menschen unter Berücksichtigung von Multiperspektivität und grundlegenden Kategorien (UK 2)</w:t>
            </w:r>
          </w:p>
          <w:p w14:paraId="37806D8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971A537" w14:textId="2ED6ED77" w:rsidR="00C964BD" w:rsidRPr="00426EE4" w:rsidRDefault="00D76223" w:rsidP="00426EE4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D76223">
              <w:rPr>
                <w:sz w:val="22"/>
              </w:rPr>
              <w:t>wenden fragengeleitet Schritte der Analyse von und kritischen Auseinandersetzung auch mit digitalen historischen Darstellungen fachgerecht an (MK 5).</w:t>
            </w:r>
          </w:p>
          <w:p w14:paraId="47DC2C1C" w14:textId="77777777" w:rsidR="00C964BD" w:rsidRPr="0012644C" w:rsidRDefault="00C964BD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2DB0734" w14:textId="626B9EE9" w:rsidR="00C964BD" w:rsidRPr="00EB5BDF" w:rsidRDefault="00EB5BDF" w:rsidP="00EB5BDF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EB5BDF">
              <w:rPr>
                <w:rFonts w:cs="Arial"/>
                <w:bCs/>
                <w:sz w:val="22"/>
              </w:rPr>
              <w:t>beurteilen das historische Handeln von Menschen unter Berücksichtigung von Multiperspektivität und grundlegenden Kategorien (UK 2)</w:t>
            </w:r>
          </w:p>
          <w:p w14:paraId="37B03EF1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457E8A8A" w:rsidR="00C964BD" w:rsidRPr="00426EE4" w:rsidRDefault="00D76223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6EE4">
              <w:rPr>
                <w:rFonts w:ascii="Arial" w:hAnsi="Arial" w:cs="Arial"/>
                <w:bCs/>
                <w:sz w:val="22"/>
                <w:szCs w:val="22"/>
              </w:rPr>
              <w:t>reflektieren die Wirkmächtigkeit von Geschichtsbildern und narrativen Stereotypen unter Berücksichtigung ihrer medialen Darstellung im öffentlichen Diskurs (HK 4).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09295BDF" w14:textId="77777777" w:rsidR="00D76223" w:rsidRP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223">
              <w:rPr>
                <w:rFonts w:ascii="Arial" w:hAnsi="Arial" w:cs="Arial"/>
                <w:sz w:val="22"/>
                <w:szCs w:val="22"/>
              </w:rPr>
              <w:lastRenderedPageBreak/>
              <w:t>Stadtluft macht frei:</w:t>
            </w:r>
          </w:p>
          <w:p w14:paraId="12B627CC" w14:textId="30372E22" w:rsidR="00D76223" w:rsidRDefault="0083238C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76223" w:rsidRP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https://www.wbf-medien.de/</w:t>
              </w:r>
            </w:hyperlink>
            <w:r w:rsidR="00D76223" w:rsidRPr="00D762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F1904A" w14:textId="01393ABB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8ED53A" w14:textId="0196DBE1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E027F" w14:textId="6432835C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65D7B" w14:textId="209CF13B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F77EF" w14:textId="6CC8FD57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16F3" w14:textId="77777777" w:rsidR="00D76223" w:rsidRDefault="00D76223" w:rsidP="00D76223">
            <w:pPr>
              <w:pStyle w:val="StandardWeb"/>
              <w:keepNext/>
              <w:spacing w:after="0"/>
            </w:pPr>
            <w:r>
              <w:rPr>
                <w:rFonts w:ascii="Arial" w:hAnsi="Arial" w:cs="Arial"/>
                <w:sz w:val="22"/>
                <w:szCs w:val="22"/>
              </w:rPr>
              <w:t>Die Stadt im späten Mittelalter. Ein Projekt mit Lernsoftware und digitalem Lernzirkel:</w:t>
            </w:r>
          </w:p>
          <w:p w14:paraId="3EDD47D0" w14:textId="77777777" w:rsidR="00D76223" w:rsidRDefault="0083238C" w:rsidP="00D76223">
            <w:pPr>
              <w:pStyle w:val="StandardWeb"/>
              <w:spacing w:before="62" w:beforeAutospacing="0" w:after="0"/>
            </w:pPr>
            <w:hyperlink r:id="rId6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www.planet-schule.de/wissenspool/die-stadt-im-spaeten-mittelalter/</w:t>
              </w:r>
            </w:hyperlink>
          </w:p>
          <w:p w14:paraId="4A18C0BE" w14:textId="77777777" w:rsidR="00D76223" w:rsidRDefault="00D76223" w:rsidP="00D76223">
            <w:pPr>
              <w:pStyle w:val="StandardWeb"/>
              <w:spacing w:before="62" w:beforeAutospacing="0" w:after="0"/>
            </w:pPr>
          </w:p>
          <w:p w14:paraId="32A70C1F" w14:textId="77777777" w:rsidR="00D76223" w:rsidRDefault="0083238C" w:rsidP="00D76223">
            <w:pPr>
              <w:pStyle w:val="StandardWeb"/>
              <w:spacing w:before="62" w:beforeAutospacing="0" w:after="0"/>
            </w:pPr>
            <w:hyperlink r:id="rId7" w:tgtFrame="_blank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Aufbau einer mittelalterlichen Stadt: Köln</w:t>
              </w:r>
            </w:hyperlink>
          </w:p>
          <w:p w14:paraId="4D88C599" w14:textId="77777777" w:rsidR="00D76223" w:rsidRDefault="0083238C" w:rsidP="00D76223">
            <w:pPr>
              <w:pStyle w:val="StandardWeb"/>
              <w:spacing w:before="62" w:beforeAutospacing="0" w:after="0"/>
            </w:pPr>
            <w:hyperlink r:id="rId8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https://lehrerblog.net/aufbau-einer-mittelalterlichen-stadt/</w:t>
              </w:r>
            </w:hyperlink>
          </w:p>
          <w:p w14:paraId="13114B3D" w14:textId="77777777" w:rsidR="00D76223" w:rsidRDefault="00D76223" w:rsidP="00D76223">
            <w:pPr>
              <w:pStyle w:val="StandardWeb"/>
              <w:spacing w:before="62" w:beforeAutospacing="0" w:after="0"/>
            </w:pPr>
          </w:p>
          <w:p w14:paraId="19800FAC" w14:textId="77777777" w:rsidR="00D76223" w:rsidRPr="00426EE4" w:rsidRDefault="00D76223" w:rsidP="00D76223">
            <w:pPr>
              <w:pStyle w:val="StandardWeb"/>
              <w:spacing w:before="62" w:beforeAutospacing="0" w:after="0"/>
            </w:pPr>
            <w:r w:rsidRPr="00426EE4">
              <w:rPr>
                <w:rFonts w:ascii="Arial" w:hAnsi="Arial" w:cs="Arial"/>
                <w:sz w:val="22"/>
                <w:szCs w:val="22"/>
              </w:rPr>
              <w:t>Beispiel eines Parcours:</w:t>
            </w:r>
          </w:p>
          <w:p w14:paraId="60E5E8EA" w14:textId="77777777" w:rsidR="00D76223" w:rsidRDefault="0083238C" w:rsidP="00D76223">
            <w:pPr>
              <w:pStyle w:val="StandardWeb"/>
              <w:spacing w:before="62" w:beforeAutospacing="0" w:after="0"/>
            </w:pPr>
            <w:hyperlink r:id="rId9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https://biparcours.de/bound/olpe</w:t>
              </w:r>
            </w:hyperlink>
          </w:p>
          <w:p w14:paraId="6F253205" w14:textId="77777777" w:rsidR="00D76223" w:rsidRDefault="00D76223" w:rsidP="00D76223">
            <w:pPr>
              <w:pStyle w:val="StandardWeb"/>
              <w:spacing w:before="62" w:beforeAutospacing="0" w:after="0"/>
            </w:pPr>
          </w:p>
          <w:p w14:paraId="00FCE1EE" w14:textId="77777777" w:rsidR="00D76223" w:rsidRDefault="00D76223" w:rsidP="00D76223">
            <w:pPr>
              <w:pStyle w:val="StandardWeb"/>
              <w:spacing w:before="62" w:beforeAutospacing="0" w:after="62"/>
            </w:pPr>
            <w:r>
              <w:rPr>
                <w:rFonts w:ascii="Arial" w:hAnsi="Arial" w:cs="Arial"/>
                <w:sz w:val="22"/>
                <w:szCs w:val="22"/>
              </w:rPr>
              <w:t>Über alte Handwerke:</w:t>
            </w:r>
          </w:p>
          <w:p w14:paraId="23B68723" w14:textId="16F569FE" w:rsidR="00C964BD" w:rsidRDefault="0083238C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Der Letzte seines Standes? auf BR-online</w:t>
              </w:r>
            </w:hyperlink>
          </w:p>
          <w:p w14:paraId="43CFFBD5" w14:textId="77777777" w:rsidR="00D76223" w:rsidRDefault="00D76223" w:rsidP="00D76223">
            <w:pPr>
              <w:pStyle w:val="StandardWeb"/>
              <w:spacing w:after="62"/>
            </w:pPr>
            <w:r>
              <w:rPr>
                <w:rFonts w:ascii="Arial" w:hAnsi="Arial" w:cs="Arial"/>
                <w:sz w:val="22"/>
                <w:szCs w:val="22"/>
              </w:rPr>
              <w:t>Hanse:</w:t>
            </w:r>
          </w:p>
          <w:p w14:paraId="1CFD03F5" w14:textId="77777777" w:rsidR="00D76223" w:rsidRDefault="0083238C" w:rsidP="00D76223">
            <w:pPr>
              <w:pStyle w:val="StandardWeb"/>
              <w:spacing w:after="0"/>
            </w:pPr>
            <w:hyperlink r:id="rId11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https://digitale-schule.blog/unterrichtskonzepte/unterrichtskonzept-die-hanse-zunahmes-des-fernhandels-im-mittelalter/</w:t>
              </w:r>
            </w:hyperlink>
          </w:p>
          <w:p w14:paraId="2C6B00DD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CEC23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BC9FE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0CF7E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4F3C9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925C8" w14:textId="77777777" w:rsidR="00C964BD" w:rsidRPr="00257725" w:rsidRDefault="00C964BD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4BD" w:rsidRPr="00F7571D" w14:paraId="414AAC73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2592ACE" w14:textId="4601E4FC" w:rsidR="00C964BD" w:rsidRDefault="00D76223" w:rsidP="00426EE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„Stadtluft macht frei“ – was konnte man durch die Landflucht gewinnen?</w:t>
            </w:r>
          </w:p>
          <w:p w14:paraId="41CC1413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B04AD" w14:textId="77777777" w:rsidR="00C964BD" w:rsidRPr="0012644C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65F50A5" w14:textId="180E9D29" w:rsidR="00C964BD" w:rsidRPr="00D76223" w:rsidRDefault="00D76223" w:rsidP="00DC4A78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Anknüpfen an die </w:t>
            </w:r>
            <w:r w:rsidR="00DC4A78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>Unfreiheit</w:t>
            </w:r>
            <w:r w:rsidR="00DC4A78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 des Landvolks (UV 5) – Gegenüber</w:t>
            </w:r>
            <w:r w:rsidR="00DC4A78">
              <w:rPr>
                <w:rFonts w:ascii="Arial" w:hAnsi="Arial" w:cs="Arial"/>
                <w:bCs/>
                <w:sz w:val="22"/>
                <w:szCs w:val="22"/>
              </w:rPr>
              <w:t>stellung mit moderner Freiheit (der Bürgerinnen und Bürger der BRD)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44AF8011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regelten die Bürger ihre Wirtschaft und ihre Gemeinschaft?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0469271" w14:textId="3B4B49CF" w:rsidR="00426EE4" w:rsidRPr="00D76223" w:rsidRDefault="00D76223" w:rsidP="00426EE4">
            <w:pPr>
              <w:autoSpaceDE w:val="0"/>
              <w:autoSpaceDN w:val="0"/>
              <w:adjustRightInd w:val="0"/>
              <w:spacing w:before="6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Spezialisierung des Handwerks – warum war freies Arbeiten notwendig?</w:t>
            </w:r>
          </w:p>
          <w:p w14:paraId="036F9DA3" w14:textId="2DDE1152" w:rsidR="00426EE4" w:rsidRPr="00D76223" w:rsidRDefault="00D76223" w:rsidP="00426EE4">
            <w:pPr>
              <w:autoSpaceDE w:val="0"/>
              <w:autoSpaceDN w:val="0"/>
              <w:adjustRightInd w:val="0"/>
              <w:spacing w:before="6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Warenaustausch – auf einem regulierten Markt</w:t>
            </w:r>
          </w:p>
          <w:p w14:paraId="724C7414" w14:textId="180E18D6" w:rsidR="00D76223" w:rsidRPr="00D76223" w:rsidRDefault="00D76223" w:rsidP="00426EE4">
            <w:pPr>
              <w:autoSpaceDE w:val="0"/>
              <w:autoSpaceDN w:val="0"/>
              <w:adjustRightInd w:val="0"/>
              <w:spacing w:before="6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Zünfte und Rat – wie regelten die Bürger ihre Angelegenheiten selbst?</w:t>
            </w:r>
          </w:p>
          <w:p w14:paraId="199783E9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AC4BD2" w14:textId="77777777" w:rsidR="00C964BD" w:rsidRPr="0012644C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A6A2862" w14:textId="03600D93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Erkundung einer Stadt der Region mit mittelalterlicher Bausubstanz</w:t>
            </w:r>
          </w:p>
          <w:p w14:paraId="259BE9A8" w14:textId="77777777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eine Stadtrallye / einen Parcours erstellen mit biparcours</w:t>
            </w:r>
          </w:p>
          <w:p w14:paraId="695F9264" w14:textId="66C25C6B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Quellenanalyse zu den städtischen Freiheiten (Stadtgründungsurkunde, Markt-, Zunft-, Lehrlingsordnung)</w:t>
            </w:r>
          </w:p>
          <w:p w14:paraId="40E5B0C0" w14:textId="0F84849C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Vergleich mittelalterlicher Freiheiten mit heutigen (Bürgermeister, Stadtrat, Markt, Handwerkerausbildung)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6F054700" w:rsidR="00C964BD" w:rsidRPr="00494510" w:rsidRDefault="00C964BD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Von Stadt zu Stadt, von Land zu Land – wie wurden Produkte gehandelt?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C964BD">
        <w:tc>
          <w:tcPr>
            <w:tcW w:w="1973" w:type="dxa"/>
            <w:shd w:val="clear" w:color="auto" w:fill="auto"/>
          </w:tcPr>
          <w:p w14:paraId="1ABC5F9A" w14:textId="3DB0DC72" w:rsidR="00C964BD" w:rsidRDefault="00D76223" w:rsidP="00426EE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Was hatten andere Städte und Länder zu bieten? – Freier Handel in Europa</w:t>
            </w:r>
          </w:p>
          <w:p w14:paraId="47AC603A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F45D46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AB15DA" w14:textId="77777777" w:rsidR="00C964BD" w:rsidRPr="000E1DE1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4C4FB62A" w14:textId="77777777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Auswertung einer Geschichtskarte zu Hansestädten der Region und Verkehrswegen (Rhein, Hellweg)</w:t>
            </w:r>
          </w:p>
          <w:p w14:paraId="7D723AB6" w14:textId="6B5F595C" w:rsidR="00C964BD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Alternativ: Gesunkene Schiffe und ihre Ladung untersuchen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26D"/>
    <w:multiLevelType w:val="hybridMultilevel"/>
    <w:tmpl w:val="BF9AFD2A"/>
    <w:lvl w:ilvl="0" w:tplc="BC7C75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26E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238C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6361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223"/>
    <w:rsid w:val="00D76422"/>
    <w:rsid w:val="00D77707"/>
    <w:rsid w:val="00D803BC"/>
    <w:rsid w:val="00D90958"/>
    <w:rsid w:val="00DA155D"/>
    <w:rsid w:val="00DB0545"/>
    <w:rsid w:val="00DC4A78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915E3"/>
    <w:rsid w:val="00EB5BDF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B63615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78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A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A7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A78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blog.net/aufbau-einer-mittelalterlichen-stad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hrerblog.net/der-aufbau-einer-mittelalterlichen-stad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schule.de/wissenspool/die-stadt-im-spaeten-mittelalter/" TargetMode="External"/><Relationship Id="rId11" Type="http://schemas.openxmlformats.org/officeDocument/2006/relationships/hyperlink" Target="https://digitale-schule.blog/unterrichtskonzepte/unterrichtskonzept-die-hanse-zunahmes-des-fernhandels-im-mittelalter/" TargetMode="External"/><Relationship Id="rId5" Type="http://schemas.openxmlformats.org/officeDocument/2006/relationships/hyperlink" Target="https://www.wbf-medien.de/medien/geschichte/mittelalter/media/all/stadtluft-macht-frei.html" TargetMode="External"/><Relationship Id="rId10" Type="http://schemas.openxmlformats.org/officeDocument/2006/relationships/hyperlink" Target="https://www.br.de/br-fernsehen/sendungen/der-letzte-seines-stand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arcours.de/bound/olp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3999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2021-01-21T15:24:00Z</dcterms:created>
  <dcterms:modified xsi:type="dcterms:W3CDTF">2021-01-21T15:24:00Z</dcterms:modified>
</cp:coreProperties>
</file>