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2EA36" w14:textId="63D8255F" w:rsidR="00091985" w:rsidRPr="0074484F" w:rsidRDefault="0074484F" w:rsidP="007B753D">
      <w:pPr>
        <w:pStyle w:val="Kopfzeile"/>
        <w:spacing w:after="120"/>
        <w:rPr>
          <w:b/>
          <w:bCs/>
          <w:sz w:val="28"/>
          <w:szCs w:val="24"/>
        </w:rPr>
      </w:pPr>
      <w:r w:rsidRPr="0074484F">
        <w:rPr>
          <w:b/>
          <w:bCs/>
          <w:sz w:val="28"/>
          <w:szCs w:val="24"/>
        </w:rPr>
        <w:t xml:space="preserve">M1 – </w:t>
      </w:r>
      <w:r w:rsidR="00CA40B3">
        <w:rPr>
          <w:b/>
          <w:bCs/>
          <w:sz w:val="28"/>
          <w:szCs w:val="24"/>
        </w:rPr>
        <w:t>Enthalpiediagramme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7"/>
      </w:tblGrid>
      <w:tr w:rsidR="00CA40B3" w14:paraId="6AB9E151" w14:textId="77777777" w:rsidTr="00DF68C0">
        <w:tc>
          <w:tcPr>
            <w:tcW w:w="4751" w:type="dxa"/>
          </w:tcPr>
          <w:p w14:paraId="50EE88F3" w14:textId="77777777" w:rsidR="00CA40B3" w:rsidRDefault="00CA40B3" w:rsidP="00DF68C0">
            <w:pPr>
              <w:tabs>
                <w:tab w:val="left" w:pos="4424"/>
              </w:tabs>
              <w:jc w:val="both"/>
              <w:rPr>
                <w:rFonts w:eastAsiaTheme="minorEastAsia"/>
              </w:rPr>
            </w:pPr>
            <w:r w:rsidRPr="004D2340">
              <w:rPr>
                <w:rFonts w:eastAsiaTheme="minorEastAsia"/>
                <w:noProof/>
                <w:lang w:eastAsia="de-DE"/>
              </w:rPr>
              <w:drawing>
                <wp:inline distT="0" distB="0" distL="0" distR="0" wp14:anchorId="67F81D36" wp14:editId="32AFF528">
                  <wp:extent cx="2516601" cy="1440000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60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vAlign w:val="center"/>
          </w:tcPr>
          <w:p w14:paraId="6A08B2A2" w14:textId="77777777" w:rsidR="00CA40B3" w:rsidRDefault="00CA40B3" w:rsidP="00DF68C0">
            <w:pPr>
              <w:tabs>
                <w:tab w:val="left" w:pos="4424"/>
              </w:tabs>
              <w:jc w:val="both"/>
              <w:rPr>
                <w:rFonts w:eastAsiaTheme="minorEastAsia"/>
              </w:rPr>
            </w:pPr>
            <w:r w:rsidRPr="008F094C">
              <w:rPr>
                <w:rFonts w:eastAsiaTheme="minorEastAsia"/>
                <w:noProof/>
                <w:lang w:eastAsia="de-DE"/>
              </w:rPr>
              <w:drawing>
                <wp:inline distT="0" distB="0" distL="0" distR="0" wp14:anchorId="0161190A" wp14:editId="1438A85C">
                  <wp:extent cx="2309295" cy="1440000"/>
                  <wp:effectExtent l="0" t="0" r="0" b="825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29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0B3" w14:paraId="5212165E" w14:textId="77777777" w:rsidTr="00DF68C0">
        <w:trPr>
          <w:trHeight w:val="397"/>
        </w:trPr>
        <w:tc>
          <w:tcPr>
            <w:tcW w:w="4751" w:type="dxa"/>
            <w:vAlign w:val="center"/>
          </w:tcPr>
          <w:p w14:paraId="7805D2EA" w14:textId="77777777" w:rsidR="00CA40B3" w:rsidRPr="00C9096C" w:rsidRDefault="00CA40B3" w:rsidP="00DF68C0">
            <w:pPr>
              <w:tabs>
                <w:tab w:val="left" w:pos="4424"/>
              </w:tabs>
              <w:jc w:val="center"/>
              <w:rPr>
                <w:rFonts w:eastAsiaTheme="minorEastAsia"/>
                <w:color w:val="2E74B5" w:themeColor="accent5" w:themeShade="BF"/>
              </w:rPr>
            </w:pPr>
            <w:r w:rsidRPr="00C9096C">
              <w:rPr>
                <w:rFonts w:eastAsiaTheme="minorEastAsia"/>
                <w:color w:val="2E74B5" w:themeColor="accent5" w:themeShade="BF"/>
                <w:sz w:val="18"/>
              </w:rPr>
              <w:t>Abb. 1: Enthalphiediagramm Hinreaktion.</w:t>
            </w:r>
          </w:p>
        </w:tc>
        <w:tc>
          <w:tcPr>
            <w:tcW w:w="4751" w:type="dxa"/>
            <w:vAlign w:val="center"/>
          </w:tcPr>
          <w:p w14:paraId="127949D4" w14:textId="77777777" w:rsidR="00CA40B3" w:rsidRPr="00C9096C" w:rsidRDefault="00CA40B3" w:rsidP="00DF68C0">
            <w:pPr>
              <w:tabs>
                <w:tab w:val="left" w:pos="4424"/>
              </w:tabs>
              <w:jc w:val="center"/>
              <w:rPr>
                <w:rFonts w:eastAsiaTheme="minorEastAsia"/>
                <w:color w:val="2E74B5" w:themeColor="accent5" w:themeShade="BF"/>
              </w:rPr>
            </w:pPr>
            <w:r w:rsidRPr="00C9096C">
              <w:rPr>
                <w:rFonts w:eastAsiaTheme="minorEastAsia"/>
                <w:color w:val="2E74B5" w:themeColor="accent5" w:themeShade="BF"/>
                <w:sz w:val="18"/>
              </w:rPr>
              <w:t>Abb. 2: Modellhafte Boltzmannverteilung Hinreaktion.</w:t>
            </w:r>
          </w:p>
        </w:tc>
      </w:tr>
      <w:tr w:rsidR="00CA40B3" w14:paraId="1C63A262" w14:textId="77777777" w:rsidTr="00DF68C0">
        <w:tc>
          <w:tcPr>
            <w:tcW w:w="4751" w:type="dxa"/>
          </w:tcPr>
          <w:p w14:paraId="1AF0F183" w14:textId="77777777" w:rsidR="00CA40B3" w:rsidRDefault="00CA40B3" w:rsidP="00DF68C0">
            <w:pPr>
              <w:tabs>
                <w:tab w:val="left" w:pos="4424"/>
              </w:tabs>
              <w:jc w:val="both"/>
              <w:rPr>
                <w:rFonts w:eastAsiaTheme="minorEastAsia"/>
              </w:rPr>
            </w:pPr>
            <w:r w:rsidRPr="008F094C">
              <w:rPr>
                <w:rFonts w:eastAsiaTheme="minorEastAsia"/>
                <w:noProof/>
                <w:lang w:eastAsia="de-DE"/>
              </w:rPr>
              <w:drawing>
                <wp:inline distT="0" distB="0" distL="0" distR="0" wp14:anchorId="770165E5" wp14:editId="34719781">
                  <wp:extent cx="2516601" cy="1440000"/>
                  <wp:effectExtent l="0" t="0" r="0" b="825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60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  <w:vAlign w:val="center"/>
          </w:tcPr>
          <w:p w14:paraId="286DEE81" w14:textId="77777777" w:rsidR="00CA40B3" w:rsidRDefault="00CA40B3" w:rsidP="00DF68C0">
            <w:pPr>
              <w:tabs>
                <w:tab w:val="left" w:pos="4424"/>
              </w:tabs>
              <w:jc w:val="both"/>
              <w:rPr>
                <w:rFonts w:eastAsiaTheme="minorEastAsia"/>
              </w:rPr>
            </w:pPr>
            <w:r w:rsidRPr="008F094C">
              <w:rPr>
                <w:rFonts w:eastAsiaTheme="minorEastAsia"/>
                <w:noProof/>
                <w:lang w:eastAsia="de-DE"/>
              </w:rPr>
              <w:drawing>
                <wp:inline distT="0" distB="0" distL="0" distR="0" wp14:anchorId="5039FBBA" wp14:editId="1D641E51">
                  <wp:extent cx="2299943" cy="1440000"/>
                  <wp:effectExtent l="0" t="0" r="5715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994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0B3" w14:paraId="06EA5CD5" w14:textId="77777777" w:rsidTr="00DF68C0">
        <w:trPr>
          <w:trHeight w:val="397"/>
        </w:trPr>
        <w:tc>
          <w:tcPr>
            <w:tcW w:w="4751" w:type="dxa"/>
            <w:vAlign w:val="center"/>
          </w:tcPr>
          <w:p w14:paraId="35594313" w14:textId="77777777" w:rsidR="00CA40B3" w:rsidRPr="00C9096C" w:rsidRDefault="00CA40B3" w:rsidP="00DF68C0">
            <w:pPr>
              <w:tabs>
                <w:tab w:val="left" w:pos="4424"/>
              </w:tabs>
              <w:jc w:val="center"/>
              <w:rPr>
                <w:rFonts w:eastAsiaTheme="minorEastAsia"/>
                <w:color w:val="2E74B5" w:themeColor="accent5" w:themeShade="BF"/>
              </w:rPr>
            </w:pPr>
            <w:r w:rsidRPr="00C9096C">
              <w:rPr>
                <w:rFonts w:eastAsiaTheme="minorEastAsia"/>
                <w:color w:val="2E74B5" w:themeColor="accent5" w:themeShade="BF"/>
                <w:sz w:val="18"/>
              </w:rPr>
              <w:t>Abb. 3: Enthalphiediagramm Rückreaktion.</w:t>
            </w:r>
          </w:p>
        </w:tc>
        <w:tc>
          <w:tcPr>
            <w:tcW w:w="4751" w:type="dxa"/>
            <w:vAlign w:val="center"/>
          </w:tcPr>
          <w:p w14:paraId="3C6EEF98" w14:textId="77777777" w:rsidR="00CA40B3" w:rsidRPr="00C9096C" w:rsidRDefault="00CA40B3" w:rsidP="00DF68C0">
            <w:pPr>
              <w:tabs>
                <w:tab w:val="left" w:pos="4424"/>
              </w:tabs>
              <w:jc w:val="center"/>
              <w:rPr>
                <w:rFonts w:eastAsiaTheme="minorEastAsia"/>
                <w:color w:val="2E74B5" w:themeColor="accent5" w:themeShade="BF"/>
              </w:rPr>
            </w:pPr>
            <w:r w:rsidRPr="00C9096C">
              <w:rPr>
                <w:rFonts w:eastAsiaTheme="minorEastAsia"/>
                <w:color w:val="2E74B5" w:themeColor="accent5" w:themeShade="BF"/>
                <w:sz w:val="18"/>
              </w:rPr>
              <w:t>Abb. 4: Modellhafte Boltzmannverteilung Rückreaktion.</w:t>
            </w:r>
          </w:p>
        </w:tc>
      </w:tr>
    </w:tbl>
    <w:p w14:paraId="51BB3A5C" w14:textId="3ACA0108" w:rsidR="0074484F" w:rsidRDefault="0074484F" w:rsidP="00130994">
      <w:pPr>
        <w:pStyle w:val="Kopfzeile"/>
        <w:spacing w:before="240" w:after="120"/>
        <w:rPr>
          <w:b/>
          <w:bCs/>
          <w:sz w:val="28"/>
          <w:szCs w:val="24"/>
        </w:rPr>
      </w:pPr>
      <w:r w:rsidRPr="0074484F">
        <w:rPr>
          <w:b/>
          <w:bCs/>
          <w:sz w:val="28"/>
          <w:szCs w:val="24"/>
        </w:rPr>
        <w:t>Aufgaben</w:t>
      </w:r>
    </w:p>
    <w:p w14:paraId="54D9FF2B" w14:textId="77777777" w:rsidR="00CA40B3" w:rsidRDefault="00CA40B3" w:rsidP="00CA40B3">
      <w:pPr>
        <w:pStyle w:val="Kopfzeile"/>
        <w:numPr>
          <w:ilvl w:val="0"/>
          <w:numId w:val="1"/>
        </w:numPr>
        <w:spacing w:after="120" w:line="259" w:lineRule="auto"/>
        <w:ind w:left="357" w:hanging="357"/>
        <w:jc w:val="both"/>
        <w:rPr>
          <w:rFonts w:cstheme="minorHAnsi"/>
        </w:rPr>
      </w:pPr>
      <w:r>
        <w:rPr>
          <w:rFonts w:cstheme="minorHAnsi"/>
        </w:rPr>
        <w:t xml:space="preserve">Beschreiben Sie die Diagramme in </w:t>
      </w:r>
      <w:r w:rsidRPr="00C9096C">
        <w:rPr>
          <w:rFonts w:cstheme="minorHAnsi"/>
          <w:b/>
        </w:rPr>
        <w:t>M1</w:t>
      </w:r>
      <w:r>
        <w:rPr>
          <w:rFonts w:cstheme="minorHAnsi"/>
        </w:rPr>
        <w:t>.</w:t>
      </w:r>
    </w:p>
    <w:p w14:paraId="76D9B6E0" w14:textId="77777777" w:rsidR="00CA40B3" w:rsidRDefault="00CA40B3" w:rsidP="00CA40B3">
      <w:pPr>
        <w:pStyle w:val="Kopfzeile"/>
        <w:numPr>
          <w:ilvl w:val="0"/>
          <w:numId w:val="1"/>
        </w:numPr>
        <w:spacing w:after="120" w:line="259" w:lineRule="auto"/>
        <w:ind w:left="357" w:hanging="357"/>
        <w:jc w:val="both"/>
        <w:rPr>
          <w:rFonts w:cstheme="minorHAnsi"/>
        </w:rPr>
      </w:pPr>
      <w:r>
        <w:rPr>
          <w:rFonts w:cstheme="minorHAnsi"/>
        </w:rPr>
        <w:t xml:space="preserve">Ordnen Sie Die Abbildungen in </w:t>
      </w:r>
      <w:r w:rsidRPr="00C9096C">
        <w:rPr>
          <w:rFonts w:cstheme="minorHAnsi"/>
          <w:b/>
        </w:rPr>
        <w:t>M2</w:t>
      </w:r>
      <w:r>
        <w:rPr>
          <w:rFonts w:cstheme="minorHAnsi"/>
        </w:rPr>
        <w:t xml:space="preserve"> den Diagrammen in </w:t>
      </w:r>
      <w:r w:rsidRPr="00C9096C">
        <w:rPr>
          <w:rFonts w:cstheme="minorHAnsi"/>
          <w:b/>
        </w:rPr>
        <w:t>M1</w:t>
      </w:r>
      <w:r>
        <w:rPr>
          <w:rFonts w:cstheme="minorHAnsi"/>
        </w:rPr>
        <w:t xml:space="preserve"> begründet zu. Beachten Sie hierbei die Veränderungen zu den ursprünglichen Abbildungen der Bälleschlacht zum chemischen Gleichgewicht.</w:t>
      </w:r>
    </w:p>
    <w:p w14:paraId="3B37CEA2" w14:textId="77777777" w:rsidR="00CA40B3" w:rsidRDefault="00CA40B3" w:rsidP="00CA40B3">
      <w:pPr>
        <w:pStyle w:val="Kopfzeile"/>
        <w:numPr>
          <w:ilvl w:val="0"/>
          <w:numId w:val="1"/>
        </w:numPr>
        <w:spacing w:after="120" w:line="259" w:lineRule="auto"/>
        <w:ind w:left="357" w:hanging="357"/>
        <w:jc w:val="both"/>
        <w:rPr>
          <w:rFonts w:cstheme="minorHAnsi"/>
        </w:rPr>
      </w:pPr>
      <w:r w:rsidRPr="00CA40B3">
        <w:rPr>
          <w:rFonts w:cstheme="minorHAnsi"/>
        </w:rPr>
        <w:t>Erläutern Sie mit Hilfe ihrer Vorüberlegungen in Aufgabe 2 die Tatsache, dass ein Katalysator keinen Einfluss auf die Lage des chemischen Gleichgewichts nimmt, sondern lediglich dessen Einstellung beschleunigt.</w:t>
      </w:r>
    </w:p>
    <w:p w14:paraId="3D7996A1" w14:textId="72E92DC2" w:rsidR="0074484F" w:rsidRDefault="00CA40B3" w:rsidP="00CA40B3">
      <w:pPr>
        <w:pStyle w:val="Kopfzeile"/>
        <w:spacing w:after="12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M2</w:t>
      </w:r>
      <w:r w:rsidR="0074484F" w:rsidRPr="00CA40B3">
        <w:rPr>
          <w:rFonts w:cstheme="minorHAnsi"/>
          <w:b/>
          <w:bCs/>
          <w:sz w:val="28"/>
          <w:szCs w:val="28"/>
        </w:rPr>
        <w:t xml:space="preserve"> – </w:t>
      </w:r>
      <w:r>
        <w:rPr>
          <w:rFonts w:cstheme="minorHAnsi"/>
          <w:b/>
          <w:bCs/>
          <w:sz w:val="28"/>
          <w:szCs w:val="28"/>
        </w:rPr>
        <w:t>Analogie zur Bälleschlacht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CA40B3" w14:paraId="0FEEFD5F" w14:textId="77777777" w:rsidTr="00DF68C0">
        <w:tc>
          <w:tcPr>
            <w:tcW w:w="5000" w:type="pct"/>
          </w:tcPr>
          <w:p w14:paraId="4D0D3D21" w14:textId="50B527EC" w:rsidR="00CA40B3" w:rsidRDefault="00CA40B3" w:rsidP="00DF68C0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 wp14:anchorId="2AD03F4E" wp14:editId="50C96A37">
                  <wp:extent cx="3778250" cy="1224915"/>
                  <wp:effectExtent l="0" t="0" r="0" b="0"/>
                  <wp:docPr id="10" name="Grafik 10" descr="E_Kat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_Kat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0" cy="12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0B3" w14:paraId="2CBA72DD" w14:textId="77777777" w:rsidTr="00DF68C0">
        <w:trPr>
          <w:trHeight w:val="397"/>
        </w:trPr>
        <w:tc>
          <w:tcPr>
            <w:tcW w:w="5000" w:type="pct"/>
            <w:vAlign w:val="center"/>
          </w:tcPr>
          <w:p w14:paraId="5E7AEBF1" w14:textId="77777777" w:rsidR="00CA40B3" w:rsidRPr="00C9096C" w:rsidRDefault="00CA40B3" w:rsidP="00DF68C0">
            <w:pPr>
              <w:jc w:val="center"/>
            </w:pPr>
            <w:r w:rsidRPr="00C9096C">
              <w:rPr>
                <w:color w:val="2E74B5" w:themeColor="accent5" w:themeShade="BF"/>
                <w:sz w:val="18"/>
              </w:rPr>
              <w:t>Abb. 5: Eine Bälleschlacht mit Hindernissen.</w:t>
            </w:r>
          </w:p>
        </w:tc>
      </w:tr>
      <w:tr w:rsidR="00CA40B3" w14:paraId="1F0B63D8" w14:textId="77777777" w:rsidTr="00DF68C0">
        <w:tc>
          <w:tcPr>
            <w:tcW w:w="5000" w:type="pct"/>
          </w:tcPr>
          <w:p w14:paraId="07D55ADC" w14:textId="67D8305D" w:rsidR="00CA40B3" w:rsidRDefault="00CA40B3" w:rsidP="00DF68C0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 wp14:anchorId="12195281" wp14:editId="0CA9C430">
                  <wp:extent cx="3778250" cy="1224915"/>
                  <wp:effectExtent l="0" t="0" r="0" b="0"/>
                  <wp:docPr id="8" name="Grafik 8" descr="E_Kat (5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_Kat (5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0" cy="12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0B3" w14:paraId="5276C28E" w14:textId="77777777" w:rsidTr="00DF68C0">
        <w:trPr>
          <w:trHeight w:val="397"/>
        </w:trPr>
        <w:tc>
          <w:tcPr>
            <w:tcW w:w="5000" w:type="pct"/>
            <w:vAlign w:val="center"/>
          </w:tcPr>
          <w:p w14:paraId="1302189C" w14:textId="77777777" w:rsidR="00CA40B3" w:rsidRPr="00C9096C" w:rsidRDefault="00CA40B3" w:rsidP="00DF68C0">
            <w:pPr>
              <w:jc w:val="center"/>
            </w:pPr>
            <w:r w:rsidRPr="00C9096C">
              <w:rPr>
                <w:color w:val="2E74B5" w:themeColor="accent5" w:themeShade="BF"/>
                <w:sz w:val="18"/>
              </w:rPr>
              <w:t>Abb. 6: Freie Bahn bei der Bälleschlacht.</w:t>
            </w:r>
          </w:p>
        </w:tc>
      </w:tr>
    </w:tbl>
    <w:p w14:paraId="768D6E60" w14:textId="77777777" w:rsidR="00CA40B3" w:rsidRPr="00CA40B3" w:rsidRDefault="00CA40B3" w:rsidP="00CA40B3">
      <w:pPr>
        <w:pStyle w:val="Kopfzeile"/>
        <w:spacing w:after="120"/>
        <w:jc w:val="both"/>
        <w:rPr>
          <w:rFonts w:cstheme="minorHAnsi"/>
        </w:rPr>
      </w:pPr>
    </w:p>
    <w:sectPr w:rsidR="00CA40B3" w:rsidRPr="00CA40B3" w:rsidSect="00C224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992" w:bottom="1134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8198E" w14:textId="77777777" w:rsidR="00E62BEF" w:rsidRDefault="00E62BEF" w:rsidP="00091985">
      <w:pPr>
        <w:spacing w:after="0" w:line="240" w:lineRule="auto"/>
      </w:pPr>
      <w:r>
        <w:separator/>
      </w:r>
    </w:p>
  </w:endnote>
  <w:endnote w:type="continuationSeparator" w:id="0">
    <w:p w14:paraId="4E637458" w14:textId="77777777" w:rsidR="00E62BEF" w:rsidRDefault="00E62BEF" w:rsidP="0009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F600D" w14:textId="77777777" w:rsidR="00CA40B3" w:rsidRDefault="00CA40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6"/>
      <w:gridCol w:w="7283"/>
      <w:gridCol w:w="847"/>
    </w:tblGrid>
    <w:tr w:rsidR="00091985" w14:paraId="29A3A84E" w14:textId="77777777" w:rsidTr="0074484F">
      <w:tc>
        <w:tcPr>
          <w:tcW w:w="719" w:type="pct"/>
          <w:vAlign w:val="center"/>
        </w:tcPr>
        <w:p w14:paraId="40F7EACC" w14:textId="77777777" w:rsidR="00091985" w:rsidRDefault="00091985">
          <w:pPr>
            <w:pStyle w:val="Fuzeile"/>
          </w:pPr>
          <w:r>
            <w:rPr>
              <w:noProof/>
            </w:rPr>
            <w:drawing>
              <wp:inline distT="0" distB="0" distL="0" distR="0" wp14:anchorId="501FFC83" wp14:editId="762707CD">
                <wp:extent cx="729251" cy="254441"/>
                <wp:effectExtent l="0" t="0" r="0" b="0"/>
                <wp:docPr id="256" name="Grafik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01F75E71" w14:textId="5A017137" w:rsidR="00091985" w:rsidRDefault="00E95FE8">
          <w:pPr>
            <w:pStyle w:val="Fuzeile"/>
          </w:pPr>
          <w:r w:rsidRPr="009A4F65">
            <w:rPr>
              <w:sz w:val="12"/>
              <w:szCs w:val="12"/>
            </w:rPr>
            <w:t>Gregor von Borstel</w:t>
          </w:r>
          <w:r>
            <w:rPr>
              <w:sz w:val="12"/>
              <w:szCs w:val="12"/>
            </w:rPr>
            <w:t xml:space="preserve"> und David Weninger</w:t>
          </w:r>
          <w:r w:rsidRPr="009A4F65">
            <w:rPr>
              <w:sz w:val="12"/>
              <w:szCs w:val="12"/>
            </w:rPr>
            <w:t xml:space="preserve"> im Team LN</w:t>
          </w:r>
          <w:r>
            <w:rPr>
              <w:sz w:val="12"/>
              <w:szCs w:val="12"/>
            </w:rPr>
            <w:t xml:space="preserve">CU für Sinus/QUA-LiS NRW, 2019. </w:t>
          </w:r>
          <w:bookmarkStart w:id="1" w:name="_GoBack"/>
          <w:r>
            <w:rPr>
              <w:sz w:val="12"/>
              <w:szCs w:val="12"/>
            </w:rPr>
            <w:t>Alle Materialien</w:t>
          </w:r>
          <w:r w:rsidR="00CA40B3">
            <w:rPr>
              <w:sz w:val="12"/>
              <w:szCs w:val="12"/>
            </w:rPr>
            <w:t xml:space="preserve"> und Abbildungen</w:t>
          </w:r>
          <w:r>
            <w:rPr>
              <w:sz w:val="12"/>
              <w:szCs w:val="12"/>
            </w:rPr>
            <w:t xml:space="preserve">, sofern nicht anders gekennzeichnet, unter </w:t>
          </w:r>
          <w:r w:rsidRPr="009A4F65">
            <w:rPr>
              <w:sz w:val="12"/>
              <w:szCs w:val="12"/>
            </w:rPr>
            <w:t>CC-BY-SA</w:t>
          </w:r>
          <w:r>
            <w:rPr>
              <w:sz w:val="12"/>
              <w:szCs w:val="12"/>
            </w:rPr>
            <w:t>.</w:t>
          </w:r>
          <w:bookmarkEnd w:id="1"/>
        </w:p>
      </w:tc>
      <w:tc>
        <w:tcPr>
          <w:tcW w:w="446" w:type="pct"/>
          <w:vAlign w:val="center"/>
        </w:tcPr>
        <w:p w14:paraId="09EECFB9" w14:textId="77777777" w:rsidR="00091985" w:rsidRPr="00091985" w:rsidRDefault="00091985" w:rsidP="00091985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067C765F" w14:textId="77777777" w:rsidR="00091985" w:rsidRDefault="0009198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AD804" w14:textId="77777777" w:rsidR="00CA40B3" w:rsidRDefault="00CA40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BE893" w14:textId="77777777" w:rsidR="00E62BEF" w:rsidRDefault="00E62BEF" w:rsidP="00091985">
      <w:pPr>
        <w:spacing w:after="0" w:line="240" w:lineRule="auto"/>
      </w:pPr>
      <w:bookmarkStart w:id="0" w:name="_Hlk28534524"/>
      <w:bookmarkEnd w:id="0"/>
      <w:r>
        <w:separator/>
      </w:r>
    </w:p>
  </w:footnote>
  <w:footnote w:type="continuationSeparator" w:id="0">
    <w:p w14:paraId="19B368B7" w14:textId="77777777" w:rsidR="00E62BEF" w:rsidRDefault="00E62BEF" w:rsidP="0009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AA04B" w14:textId="77777777" w:rsidR="00CA40B3" w:rsidRDefault="00CA40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6223C" w14:textId="37634ACF" w:rsidR="00C22495" w:rsidRDefault="00C22495" w:rsidP="00C22495">
    <w:pPr>
      <w:pStyle w:val="Kopfzeile"/>
      <w:rPr>
        <w:b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2E8101" wp14:editId="3617F508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5" name="Grafik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A40B3">
      <w:rPr>
        <w:b/>
        <w:sz w:val="32"/>
      </w:rPr>
      <w:t>Mama vs. Baby: Wettstreit im Klassenzimmer</w:t>
    </w:r>
  </w:p>
  <w:p w14:paraId="480C3887" w14:textId="41B6F383" w:rsidR="00091985" w:rsidRPr="00C22495" w:rsidRDefault="00CA40B3" w:rsidP="00C22495">
    <w:pPr>
      <w:pStyle w:val="Kopfzeile"/>
      <w:spacing w:after="240"/>
      <w:rPr>
        <w:b/>
        <w:sz w:val="24"/>
      </w:rPr>
    </w:pPr>
    <w:r>
      <w:rPr>
        <w:b/>
        <w:sz w:val="24"/>
      </w:rPr>
      <w:t>Einfluss eines Katalysators auf das chemische Gleichgewicht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08F1B" w14:textId="77777777" w:rsidR="00CA40B3" w:rsidRDefault="00CA40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06B09"/>
    <w:multiLevelType w:val="hybridMultilevel"/>
    <w:tmpl w:val="7DD84D3A"/>
    <w:lvl w:ilvl="0" w:tplc="F8A6A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BE7069"/>
    <w:multiLevelType w:val="hybridMultilevel"/>
    <w:tmpl w:val="44700422"/>
    <w:lvl w:ilvl="0" w:tplc="FB4C509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3062D9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10F060B"/>
    <w:multiLevelType w:val="hybridMultilevel"/>
    <w:tmpl w:val="1D966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51B37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BF004B"/>
    <w:multiLevelType w:val="hybridMultilevel"/>
    <w:tmpl w:val="BAEE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92D41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C54FCF"/>
    <w:multiLevelType w:val="hybridMultilevel"/>
    <w:tmpl w:val="161A5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5"/>
    <w:rsid w:val="00091985"/>
    <w:rsid w:val="00130994"/>
    <w:rsid w:val="002E0312"/>
    <w:rsid w:val="004D791F"/>
    <w:rsid w:val="004F55DD"/>
    <w:rsid w:val="00572D23"/>
    <w:rsid w:val="0074484F"/>
    <w:rsid w:val="007B753D"/>
    <w:rsid w:val="007C20E3"/>
    <w:rsid w:val="00805156"/>
    <w:rsid w:val="0086062D"/>
    <w:rsid w:val="008947F1"/>
    <w:rsid w:val="00A21B91"/>
    <w:rsid w:val="00BF594B"/>
    <w:rsid w:val="00C22495"/>
    <w:rsid w:val="00CA0EC6"/>
    <w:rsid w:val="00CA40B3"/>
    <w:rsid w:val="00E62BEF"/>
    <w:rsid w:val="00E74E58"/>
    <w:rsid w:val="00E95FE8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9C5"/>
  <w15:chartTrackingRefBased/>
  <w15:docId w15:val="{AC9E8643-13A6-4373-AB5F-E6C729EF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753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91985"/>
  </w:style>
  <w:style w:type="paragraph" w:styleId="Fuzeile">
    <w:name w:val="footer"/>
    <w:basedOn w:val="Standard"/>
    <w:link w:val="FuzeileZchn"/>
    <w:uiPriority w:val="99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1985"/>
  </w:style>
  <w:style w:type="table" w:styleId="Tabellenraster">
    <w:name w:val="Table Grid"/>
    <w:basedOn w:val="NormaleTabelle"/>
    <w:uiPriority w:val="39"/>
    <w:rsid w:val="000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basedOn w:val="Absatz-Standardschriftart"/>
    <w:uiPriority w:val="99"/>
    <w:semiHidden/>
    <w:unhideWhenUsed/>
    <w:rsid w:val="0074484F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22495"/>
    <w:rPr>
      <w:color w:val="808080"/>
    </w:rPr>
  </w:style>
  <w:style w:type="paragraph" w:styleId="Listenabsatz">
    <w:name w:val="List Paragraph"/>
    <w:basedOn w:val="Standard"/>
    <w:qFormat/>
    <w:rsid w:val="001309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A4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A0E38-76F6-4E2D-8475-6DA80E16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David Weninger</cp:lastModifiedBy>
  <cp:revision>5</cp:revision>
  <cp:lastPrinted>2019-12-29T17:54:00Z</cp:lastPrinted>
  <dcterms:created xsi:type="dcterms:W3CDTF">2019-12-29T18:00:00Z</dcterms:created>
  <dcterms:modified xsi:type="dcterms:W3CDTF">2019-12-29T18:57:00Z</dcterms:modified>
</cp:coreProperties>
</file>