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B9221" w14:textId="550DF7E6" w:rsidR="008F141E" w:rsidRPr="008F141E" w:rsidRDefault="008F141E" w:rsidP="008F141E">
      <w:pPr>
        <w:spacing w:after="120" w:line="240" w:lineRule="auto"/>
        <w:jc w:val="both"/>
        <w:rPr>
          <w:rFonts w:asciiTheme="minorHAnsi" w:hAnsiTheme="minorHAnsi" w:cstheme="minorHAnsi"/>
          <w:b/>
          <w:sz w:val="28"/>
          <w:szCs w:val="28"/>
        </w:rPr>
      </w:pPr>
      <w:r w:rsidRPr="008F141E">
        <w:rPr>
          <w:rFonts w:asciiTheme="minorHAnsi" w:hAnsiTheme="minorHAnsi" w:cstheme="minorHAnsi"/>
          <w:b/>
          <w:sz w:val="28"/>
          <w:szCs w:val="28"/>
        </w:rPr>
        <w:t>Voraussetzungen/ Vorwissen</w:t>
      </w:r>
    </w:p>
    <w:p w14:paraId="5CA1D48D" w14:textId="77777777" w:rsidR="008F141E" w:rsidRDefault="008F141E" w:rsidP="008F141E">
      <w:pPr>
        <w:spacing w:line="240" w:lineRule="auto"/>
        <w:jc w:val="both"/>
      </w:pPr>
      <w:r>
        <w:t xml:space="preserve">Die SUS sollten den Einfluss von </w:t>
      </w:r>
      <w:r>
        <w:rPr>
          <w:i/>
        </w:rPr>
        <w:t>Druck und Temperatur</w:t>
      </w:r>
      <w:r>
        <w:t xml:space="preserve"> (evtl. Konzentration) auf </w:t>
      </w:r>
      <w:r>
        <w:rPr>
          <w:i/>
        </w:rPr>
        <w:t>chemische Gleichgewichte</w:t>
      </w:r>
      <w:r>
        <w:t xml:space="preserve"> kennen, z.B. durch das Arbeitsblatt „Löslichkeit von Kohlenstoffdioxid“ aus dem bereitgestellten Modul „Le Chatelier“.</w:t>
      </w:r>
    </w:p>
    <w:p w14:paraId="476419E3" w14:textId="77777777" w:rsidR="008F141E" w:rsidRDefault="008F141E" w:rsidP="008F141E">
      <w:pPr>
        <w:spacing w:line="240" w:lineRule="auto"/>
        <w:jc w:val="both"/>
      </w:pPr>
      <w:r>
        <w:t xml:space="preserve">Als </w:t>
      </w:r>
      <w:r>
        <w:rPr>
          <w:b/>
        </w:rPr>
        <w:t>typischen Kontext</w:t>
      </w:r>
      <w:r>
        <w:t xml:space="preserve"> benutzt man im Unterricht üblicherweise den natürlichen Kalkkreislauf, z.B. anhand der Entstehung von Tropfsteinhöhlen bzw. Dolinen</w:t>
      </w:r>
      <w:r>
        <w:rPr>
          <w:rStyle w:val="Funotenzeichen"/>
        </w:rPr>
        <w:footnoteReference w:id="1"/>
      </w:r>
      <w:r>
        <w:t xml:space="preserve"> oder der Verwitterung an Gebäuden. Hier lassen sich Reaktionsmechanismen abprüfen und der natürliche Kalkkreislauf kann beispielhaft erläutert werden:</w:t>
      </w:r>
    </w:p>
    <w:p w14:paraId="714DDF80" w14:textId="03004E99" w:rsidR="008F141E" w:rsidRDefault="008F141E" w:rsidP="008F141E">
      <w:pPr>
        <w:spacing w:line="240" w:lineRule="auto"/>
        <w:jc w:val="center"/>
      </w:pPr>
      <w:r>
        <w:rPr>
          <w:noProof/>
        </w:rPr>
        <mc:AlternateContent>
          <mc:Choice Requires="wps">
            <w:drawing>
              <wp:inline distT="0" distB="0" distL="0" distR="0" wp14:anchorId="681CC4D5" wp14:editId="5CF01FC9">
                <wp:extent cx="4869179" cy="693416"/>
                <wp:effectExtent l="0" t="0" r="27305" b="12065"/>
                <wp:docPr id="2" name="Textfeld 2"/>
                <wp:cNvGraphicFramePr/>
                <a:graphic xmlns:a="http://schemas.openxmlformats.org/drawingml/2006/main">
                  <a:graphicData uri="http://schemas.microsoft.com/office/word/2010/wordprocessingShape">
                    <wps:wsp>
                      <wps:cNvSpPr txBox="1"/>
                      <wps:spPr>
                        <a:xfrm>
                          <a:off x="0" y="0"/>
                          <a:ext cx="4869179" cy="693416"/>
                        </a:xfrm>
                        <a:prstGeom prst="rect">
                          <a:avLst/>
                        </a:prstGeom>
                        <a:solidFill>
                          <a:srgbClr val="FFFFFF"/>
                        </a:solidFill>
                        <a:ln w="9528">
                          <a:solidFill>
                            <a:srgbClr val="000000"/>
                          </a:solidFill>
                          <a:prstDash val="solid"/>
                        </a:ln>
                      </wps:spPr>
                      <wps:txbx>
                        <w:txbxContent>
                          <w:p w14:paraId="7E0B1107" w14:textId="03B35D1C" w:rsidR="008F141E" w:rsidRDefault="008F141E" w:rsidP="008F141E">
                            <w:pPr>
                              <w:pStyle w:val="Listenabsatz"/>
                              <w:numPr>
                                <w:ilvl w:val="0"/>
                                <w:numId w:val="23"/>
                              </w:numPr>
                              <w:jc w:val="both"/>
                            </w:pPr>
                            <w:r w:rsidRPr="008F141E">
                              <w:rPr>
                                <w:b/>
                                <w:i/>
                              </w:rPr>
                              <w:t>„Erläutern Sie</w:t>
                            </w:r>
                            <w:r w:rsidRPr="008F141E">
                              <w:rPr>
                                <w:i/>
                              </w:rPr>
                              <w:t xml:space="preserve"> den Prozess der Dolinenbildung anhand der stattfindenden chemischen Reaktionen. </w:t>
                            </w:r>
                            <w:r w:rsidRPr="008F141E">
                              <w:rPr>
                                <w:b/>
                                <w:i/>
                              </w:rPr>
                              <w:t>Geben Sie</w:t>
                            </w:r>
                            <w:r w:rsidRPr="008F141E">
                              <w:rPr>
                                <w:i/>
                              </w:rPr>
                              <w:t xml:space="preserve"> dabei jeweils die zugehörige Reaktionsgleichung </w:t>
                            </w:r>
                            <w:r w:rsidRPr="008F141E">
                              <w:rPr>
                                <w:b/>
                                <w:i/>
                              </w:rPr>
                              <w:t>an</w:t>
                            </w:r>
                            <w:r w:rsidRPr="008F141E">
                              <w:rPr>
                                <w:i/>
                              </w:rPr>
                              <w:t>.</w:t>
                            </w:r>
                          </w:p>
                          <w:p w14:paraId="0999224C" w14:textId="77777777" w:rsidR="008F141E" w:rsidRDefault="008F141E" w:rsidP="008F141E"/>
                        </w:txbxContent>
                      </wps:txbx>
                      <wps:bodyPr vert="horz" wrap="square" lIns="91440" tIns="45720" rIns="91440" bIns="45720" anchor="t" anchorCtr="0" compatLnSpc="0">
                        <a:noAutofit/>
                      </wps:bodyPr>
                    </wps:wsp>
                  </a:graphicData>
                </a:graphic>
              </wp:inline>
            </w:drawing>
          </mc:Choice>
          <mc:Fallback>
            <w:pict>
              <v:shapetype w14:anchorId="681CC4D5" id="_x0000_t202" coordsize="21600,21600" o:spt="202" path="m,l,21600r21600,l21600,xe">
                <v:stroke joinstyle="miter"/>
                <v:path gradientshapeok="t" o:connecttype="rect"/>
              </v:shapetype>
              <v:shape id="Textfeld 2" o:spid="_x0000_s1026" type="#_x0000_t202" style="width:383.4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" strokeweight=".26467mm">
                <v:textbox>
                  <w:txbxContent>
                    <w:p w14:paraId="7E0B1107" w14:textId="03B35D1C" w:rsidR="008F141E" w:rsidRDefault="008F141E" w:rsidP="008F141E">
                      <w:pPr>
                        <w:pStyle w:val="Listenabsatz"/>
                        <w:numPr>
                          <w:ilvl w:val="0"/>
                          <w:numId w:val="23"/>
                        </w:numPr>
                        <w:jc w:val="both"/>
                      </w:pPr>
                      <w:r w:rsidRPr="008F141E">
                        <w:rPr>
                          <w:b/>
                          <w:i/>
                        </w:rPr>
                        <w:t>„Erläutern Sie</w:t>
                      </w:r>
                      <w:r w:rsidRPr="008F141E">
                        <w:rPr>
                          <w:i/>
                        </w:rPr>
                        <w:t xml:space="preserve"> den Prozess der </w:t>
                      </w:r>
                      <w:proofErr w:type="spellStart"/>
                      <w:r w:rsidRPr="008F141E">
                        <w:rPr>
                          <w:i/>
                        </w:rPr>
                        <w:t>Dolinenbildung</w:t>
                      </w:r>
                      <w:proofErr w:type="spellEnd"/>
                      <w:r w:rsidRPr="008F141E">
                        <w:rPr>
                          <w:i/>
                        </w:rPr>
                        <w:t xml:space="preserve"> anhand der stattfindenden chemischen Reaktionen. </w:t>
                      </w:r>
                      <w:r w:rsidRPr="008F141E">
                        <w:rPr>
                          <w:b/>
                          <w:i/>
                        </w:rPr>
                        <w:t>Geben Sie</w:t>
                      </w:r>
                      <w:r w:rsidRPr="008F141E">
                        <w:rPr>
                          <w:i/>
                        </w:rPr>
                        <w:t xml:space="preserve"> dabei jeweils die zugehörige Reaktionsgleichung </w:t>
                      </w:r>
                      <w:r w:rsidRPr="008F141E">
                        <w:rPr>
                          <w:b/>
                          <w:i/>
                        </w:rPr>
                        <w:t>an</w:t>
                      </w:r>
                      <w:r w:rsidRPr="008F141E">
                        <w:rPr>
                          <w:i/>
                        </w:rPr>
                        <w:t>.</w:t>
                      </w:r>
                    </w:p>
                    <w:p w14:paraId="0999224C" w14:textId="77777777" w:rsidR="008F141E" w:rsidRDefault="008F141E" w:rsidP="008F141E"/>
                  </w:txbxContent>
                </v:textbox>
                <w10:anchorlock/>
              </v:shape>
            </w:pict>
          </mc:Fallback>
        </mc:AlternateContent>
      </w:r>
    </w:p>
    <w:p w14:paraId="538428DC" w14:textId="62FC54C8" w:rsidR="008F141E" w:rsidRDefault="008F141E" w:rsidP="008F141E">
      <w:pPr>
        <w:spacing w:line="240" w:lineRule="auto"/>
        <w:jc w:val="both"/>
      </w:pPr>
      <w:r>
        <w:t xml:space="preserve">Diese </w:t>
      </w:r>
      <w:r>
        <w:rPr>
          <w:b/>
        </w:rPr>
        <w:t>typische Klausuraufgabe</w:t>
      </w:r>
      <w:r>
        <w:t xml:space="preserve"> bewegt sich je nach Vorwissen im Anforderungsbereich I/II kann aber durch Zusatzmaterial in der Schwierigkeit variiert werden, z.B. durch die Setzung anderer Rahmenbedingungen, die das chemische Gleichgewicht beeinflussen. Dadurch sind die </w:t>
      </w:r>
      <w:r w:rsidR="003A4CD0">
        <w:t>Lernenden</w:t>
      </w:r>
      <w:r>
        <w:t xml:space="preserve"> gezwungen, ihr erlerntes Wissen </w:t>
      </w:r>
      <w:r w:rsidR="003A4CD0">
        <w:t xml:space="preserve">in anderen Zusammenhängen problemorientiert </w:t>
      </w:r>
      <w:r>
        <w:t>anzuwenden.</w:t>
      </w:r>
    </w:p>
    <w:p w14:paraId="0B77D382" w14:textId="04D42D7E" w:rsidR="008F141E" w:rsidRPr="008F141E" w:rsidRDefault="008F141E" w:rsidP="008F141E">
      <w:pPr>
        <w:spacing w:line="240" w:lineRule="auto"/>
        <w:jc w:val="center"/>
      </w:pPr>
      <w:r>
        <w:rPr>
          <w:noProof/>
        </w:rPr>
        <mc:AlternateContent>
          <mc:Choice Requires="wps">
            <w:drawing>
              <wp:inline distT="0" distB="0" distL="0" distR="0" wp14:anchorId="5B363918" wp14:editId="4E994CB1">
                <wp:extent cx="4861563" cy="868680"/>
                <wp:effectExtent l="0" t="0" r="15240" b="26670"/>
                <wp:docPr id="3" name="Textfeld 2"/>
                <wp:cNvGraphicFramePr/>
                <a:graphic xmlns:a="http://schemas.openxmlformats.org/drawingml/2006/main">
                  <a:graphicData uri="http://schemas.microsoft.com/office/word/2010/wordprocessingShape">
                    <wps:wsp>
                      <wps:cNvSpPr txBox="1"/>
                      <wps:spPr>
                        <a:xfrm>
                          <a:off x="0" y="0"/>
                          <a:ext cx="4861563" cy="868680"/>
                        </a:xfrm>
                        <a:prstGeom prst="rect">
                          <a:avLst/>
                        </a:prstGeom>
                        <a:solidFill>
                          <a:srgbClr val="FFFFFF"/>
                        </a:solidFill>
                        <a:ln w="9528">
                          <a:solidFill>
                            <a:srgbClr val="000000"/>
                          </a:solidFill>
                          <a:prstDash val="solid"/>
                        </a:ln>
                      </wps:spPr>
                      <wps:txbx>
                        <w:txbxContent>
                          <w:p w14:paraId="7B342ECD" w14:textId="3E0D20E0" w:rsidR="008F141E" w:rsidRDefault="008F141E" w:rsidP="008F141E">
                            <w:pPr>
                              <w:pStyle w:val="Listenabsatz"/>
                              <w:numPr>
                                <w:ilvl w:val="0"/>
                                <w:numId w:val="24"/>
                              </w:numPr>
                              <w:jc w:val="both"/>
                            </w:pPr>
                            <w:r w:rsidRPr="008F141E">
                              <w:rPr>
                                <w:b/>
                                <w:i/>
                              </w:rPr>
                              <w:t>„Beurteilen Sie</w:t>
                            </w:r>
                            <w:r w:rsidRPr="008F141E">
                              <w:rPr>
                                <w:i/>
                              </w:rPr>
                              <w:t xml:space="preserve"> die Dolinenbildung auf dem Planetensystem Kalkulon (</w:t>
                            </w:r>
                            <w:r w:rsidRPr="008F141E">
                              <w:rPr>
                                <w:b/>
                                <w:i/>
                              </w:rPr>
                              <w:t>M 1</w:t>
                            </w:r>
                            <w:r w:rsidRPr="008F141E">
                              <w:rPr>
                                <w:i/>
                              </w:rPr>
                              <w:t xml:space="preserve">), indem Sie mögliche Auswirkungen der veränderten äußeren Bedingungen auf die chemischen Reaktionen aufzeigen und die Größe und Häufigkeit der Kalksteinhöhlen auf dem jeweiligen Planeten voraussagen.“ </w:t>
                            </w:r>
                          </w:p>
                          <w:p w14:paraId="1BF458A6" w14:textId="77777777" w:rsidR="008F141E" w:rsidRDefault="008F141E" w:rsidP="008F141E"/>
                        </w:txbxContent>
                      </wps:txbx>
                      <wps:bodyPr vert="horz" wrap="square" lIns="91440" tIns="45720" rIns="91440" bIns="45720" anchor="t" anchorCtr="0" compatLnSpc="0">
                        <a:noAutofit/>
                      </wps:bodyPr>
                    </wps:wsp>
                  </a:graphicData>
                </a:graphic>
              </wp:inline>
            </w:drawing>
          </mc:Choice>
          <mc:Fallback>
            <w:pict>
              <v:shape w14:anchorId="5B363918" id="_x0000_s1027" type="#_x0000_t202" style="width:382.8pt;height:6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" strokeweight=".26467mm">
                <v:textbox>
                  <w:txbxContent>
                    <w:p w14:paraId="7B342ECD" w14:textId="3E0D20E0" w:rsidR="008F141E" w:rsidRDefault="008F141E" w:rsidP="008F141E">
                      <w:pPr>
                        <w:pStyle w:val="Listenabsatz"/>
                        <w:numPr>
                          <w:ilvl w:val="0"/>
                          <w:numId w:val="24"/>
                        </w:numPr>
                        <w:jc w:val="both"/>
                      </w:pPr>
                      <w:r w:rsidRPr="008F141E">
                        <w:rPr>
                          <w:b/>
                          <w:i/>
                        </w:rPr>
                        <w:t>„Beurteilen Sie</w:t>
                      </w:r>
                      <w:r w:rsidRPr="008F141E">
                        <w:rPr>
                          <w:i/>
                        </w:rPr>
                        <w:t xml:space="preserve"> die </w:t>
                      </w:r>
                      <w:proofErr w:type="spellStart"/>
                      <w:r w:rsidRPr="008F141E">
                        <w:rPr>
                          <w:i/>
                        </w:rPr>
                        <w:t>Dolinenbildung</w:t>
                      </w:r>
                      <w:proofErr w:type="spellEnd"/>
                      <w:r w:rsidRPr="008F141E">
                        <w:rPr>
                          <w:i/>
                        </w:rPr>
                        <w:t xml:space="preserve"> auf dem Planetensystem </w:t>
                      </w:r>
                      <w:proofErr w:type="spellStart"/>
                      <w:r w:rsidRPr="008F141E">
                        <w:rPr>
                          <w:i/>
                        </w:rPr>
                        <w:t>Kalkulon</w:t>
                      </w:r>
                      <w:proofErr w:type="spellEnd"/>
                      <w:r w:rsidRPr="008F141E">
                        <w:rPr>
                          <w:i/>
                        </w:rPr>
                        <w:t xml:space="preserve"> (</w:t>
                      </w:r>
                      <w:r w:rsidRPr="008F141E">
                        <w:rPr>
                          <w:b/>
                          <w:i/>
                        </w:rPr>
                        <w:t>M 1</w:t>
                      </w:r>
                      <w:r w:rsidRPr="008F141E">
                        <w:rPr>
                          <w:i/>
                        </w:rPr>
                        <w:t xml:space="preserve">), indem Sie mögliche Auswirkungen der veränderten äußeren Bedingungen auf die chemischen Reaktionen aufzeigen und die Größe und Häufigkeit der Kalksteinhöhlen auf dem jeweiligen Planeten voraussagen.“ </w:t>
                      </w:r>
                    </w:p>
                    <w:p w14:paraId="1BF458A6" w14:textId="77777777" w:rsidR="008F141E" w:rsidRDefault="008F141E" w:rsidP="008F141E"/>
                  </w:txbxContent>
                </v:textbox>
                <w10:anchorlock/>
              </v:shape>
            </w:pict>
          </mc:Fallback>
        </mc:AlternateContent>
      </w:r>
    </w:p>
    <w:p w14:paraId="0EF9D867" w14:textId="77777777" w:rsidR="008F141E" w:rsidRDefault="008F141E" w:rsidP="008F141E">
      <w:pPr>
        <w:tabs>
          <w:tab w:val="left" w:pos="1560"/>
        </w:tabs>
        <w:spacing w:before="240" w:after="120" w:line="240" w:lineRule="auto"/>
        <w:rPr>
          <w:rFonts w:eastAsia="Times New Roman" w:cs="Arial"/>
          <w:b/>
          <w:sz w:val="28"/>
          <w:szCs w:val="28"/>
          <w:lang w:eastAsia="de-DE"/>
        </w:rPr>
      </w:pPr>
      <w:r>
        <w:rPr>
          <w:rFonts w:eastAsia="Times New Roman" w:cs="Arial"/>
          <w:b/>
          <w:sz w:val="28"/>
          <w:szCs w:val="28"/>
          <w:lang w:eastAsia="de-DE"/>
        </w:rPr>
        <w:t>M 1: Das Planetensystem Kalkulon</w:t>
      </w:r>
    </w:p>
    <w:p w14:paraId="01F61F45" w14:textId="6671D8B6" w:rsidR="008F141E" w:rsidRPr="008F141E" w:rsidRDefault="008F141E" w:rsidP="008F141E">
      <w:pPr>
        <w:tabs>
          <w:tab w:val="left" w:pos="1560"/>
        </w:tabs>
        <w:spacing w:after="0" w:line="240" w:lineRule="auto"/>
      </w:pPr>
      <w:r>
        <w:rPr>
          <w:rFonts w:eastAsia="Times New Roman" w:cs="Arial"/>
          <w:lang w:eastAsia="de-DE"/>
        </w:rPr>
        <w:t>Das Planetensystem Kalkulon besteht aus drei unterschiedlichen Planeten, die alle überwiegend aus Kalkstein bestehen. Allerdings herrschen gegenüber der Erde andere Bedingungen:</w:t>
      </w:r>
    </w:p>
    <w:p w14:paraId="5A1A4F6A" w14:textId="77777777" w:rsidR="008F141E" w:rsidRDefault="008F141E" w:rsidP="008F141E">
      <w:pPr>
        <w:tabs>
          <w:tab w:val="left" w:pos="1560"/>
        </w:tabs>
        <w:spacing w:after="0" w:line="240" w:lineRule="auto"/>
        <w:jc w:val="both"/>
        <w:rPr>
          <w:rFonts w:eastAsia="Times New Roman" w:cs="Arial"/>
          <w:lang w:eastAsia="de-DE"/>
        </w:rPr>
      </w:pPr>
    </w:p>
    <w:p w14:paraId="3E657BF0" w14:textId="77777777" w:rsidR="008F141E" w:rsidRPr="008F141E" w:rsidRDefault="008F141E" w:rsidP="008F141E">
      <w:pPr>
        <w:tabs>
          <w:tab w:val="left" w:pos="1560"/>
        </w:tabs>
        <w:spacing w:after="0" w:line="240" w:lineRule="auto"/>
        <w:jc w:val="both"/>
        <w:rPr>
          <w:rFonts w:eastAsia="Times New Roman" w:cs="Arial"/>
          <w:b/>
          <w:sz w:val="24"/>
          <w:szCs w:val="24"/>
          <w:lang w:eastAsia="de-DE"/>
        </w:rPr>
      </w:pPr>
      <w:r w:rsidRPr="008F141E">
        <w:rPr>
          <w:rFonts w:eastAsia="Times New Roman" w:cs="Arial"/>
          <w:b/>
          <w:sz w:val="24"/>
          <w:szCs w:val="24"/>
          <w:lang w:eastAsia="de-DE"/>
        </w:rPr>
        <w:t>Kalkulon I</w:t>
      </w:r>
    </w:p>
    <w:p w14:paraId="56507C47" w14:textId="77777777" w:rsidR="008F141E" w:rsidRDefault="008F141E" w:rsidP="008F141E">
      <w:pPr>
        <w:tabs>
          <w:tab w:val="left" w:pos="1560"/>
        </w:tabs>
        <w:spacing w:after="0" w:line="240" w:lineRule="auto"/>
        <w:jc w:val="both"/>
        <w:rPr>
          <w:rFonts w:eastAsia="Times New Roman" w:cs="Arial"/>
          <w:lang w:eastAsia="de-DE"/>
        </w:rPr>
      </w:pPr>
      <w:r>
        <w:rPr>
          <w:rFonts w:eastAsia="Times New Roman" w:cs="Arial"/>
          <w:lang w:eastAsia="de-DE"/>
        </w:rPr>
        <w:t>Ist ein Planet mit gemäßigten Temperaturen, aber einer sehr dichten Atmosphäre. Hier herrscht gegenüber der Erde auf Meereshöhe der zehnfache Druck.</w:t>
      </w:r>
    </w:p>
    <w:p w14:paraId="68BCA4AE" w14:textId="77777777" w:rsidR="008F141E" w:rsidRDefault="008F141E" w:rsidP="008F141E">
      <w:pPr>
        <w:tabs>
          <w:tab w:val="left" w:pos="1560"/>
        </w:tabs>
        <w:spacing w:after="0" w:line="240" w:lineRule="auto"/>
        <w:jc w:val="both"/>
        <w:rPr>
          <w:rFonts w:eastAsia="Times New Roman" w:cs="Arial"/>
          <w:sz w:val="12"/>
          <w:szCs w:val="12"/>
          <w:lang w:eastAsia="de-DE"/>
        </w:rPr>
      </w:pPr>
    </w:p>
    <w:p w14:paraId="28068ED7" w14:textId="77777777" w:rsidR="008F141E" w:rsidRPr="008F141E" w:rsidRDefault="008F141E" w:rsidP="008F141E">
      <w:pPr>
        <w:tabs>
          <w:tab w:val="left" w:pos="1560"/>
        </w:tabs>
        <w:spacing w:after="0" w:line="240" w:lineRule="auto"/>
        <w:jc w:val="both"/>
        <w:rPr>
          <w:rFonts w:eastAsia="Times New Roman" w:cs="Arial"/>
          <w:b/>
          <w:sz w:val="24"/>
          <w:szCs w:val="24"/>
          <w:lang w:eastAsia="de-DE"/>
        </w:rPr>
      </w:pPr>
      <w:r w:rsidRPr="008F141E">
        <w:rPr>
          <w:rFonts w:eastAsia="Times New Roman" w:cs="Arial"/>
          <w:b/>
          <w:sz w:val="24"/>
          <w:szCs w:val="24"/>
          <w:lang w:eastAsia="de-DE"/>
        </w:rPr>
        <w:t>Kalkulon II</w:t>
      </w:r>
    </w:p>
    <w:p w14:paraId="1EA2899A" w14:textId="04D66279" w:rsidR="008F141E" w:rsidRDefault="008F141E" w:rsidP="008F141E">
      <w:pPr>
        <w:tabs>
          <w:tab w:val="left" w:pos="1560"/>
        </w:tabs>
        <w:spacing w:after="0" w:line="240" w:lineRule="auto"/>
        <w:jc w:val="both"/>
        <w:rPr>
          <w:rFonts w:eastAsia="Times New Roman" w:cs="Arial"/>
          <w:lang w:eastAsia="de-DE"/>
        </w:rPr>
      </w:pPr>
      <w:r>
        <w:rPr>
          <w:rFonts w:eastAsia="Times New Roman" w:cs="Arial"/>
          <w:lang w:eastAsia="de-DE"/>
        </w:rPr>
        <w:t>Hat eine Umlaufbahn nahe der Sonne. Dadurch beträgt die Temperatur auf der Oberfläche ca. 60°C. Die Zusammensetzung der Atmosphäre entspricht ansonsten aber genau derjenigen der Erde.</w:t>
      </w:r>
    </w:p>
    <w:p w14:paraId="5C8594F6" w14:textId="77777777" w:rsidR="008F141E" w:rsidRDefault="008F141E" w:rsidP="008F141E">
      <w:pPr>
        <w:tabs>
          <w:tab w:val="left" w:pos="1560"/>
        </w:tabs>
        <w:spacing w:after="0" w:line="240" w:lineRule="auto"/>
        <w:jc w:val="both"/>
        <w:rPr>
          <w:rFonts w:eastAsia="Times New Roman" w:cs="Arial"/>
          <w:sz w:val="12"/>
          <w:szCs w:val="12"/>
          <w:lang w:eastAsia="de-DE"/>
        </w:rPr>
      </w:pPr>
    </w:p>
    <w:p w14:paraId="0BB08E2B" w14:textId="77777777" w:rsidR="008F141E" w:rsidRPr="008F141E" w:rsidRDefault="008F141E" w:rsidP="008F141E">
      <w:pPr>
        <w:tabs>
          <w:tab w:val="left" w:pos="1560"/>
        </w:tabs>
        <w:spacing w:after="0" w:line="240" w:lineRule="auto"/>
        <w:jc w:val="both"/>
        <w:rPr>
          <w:rFonts w:eastAsia="Times New Roman" w:cs="Arial"/>
          <w:b/>
          <w:sz w:val="24"/>
          <w:szCs w:val="24"/>
          <w:lang w:eastAsia="de-DE"/>
        </w:rPr>
      </w:pPr>
      <w:r w:rsidRPr="008F141E">
        <w:rPr>
          <w:rFonts w:eastAsia="Times New Roman" w:cs="Arial"/>
          <w:b/>
          <w:sz w:val="24"/>
          <w:szCs w:val="24"/>
          <w:lang w:eastAsia="de-DE"/>
        </w:rPr>
        <w:t>Kalkulon III</w:t>
      </w:r>
    </w:p>
    <w:p w14:paraId="0F4AB136" w14:textId="77777777" w:rsidR="008F141E" w:rsidRDefault="008F141E" w:rsidP="008F141E">
      <w:pPr>
        <w:tabs>
          <w:tab w:val="left" w:pos="1560"/>
        </w:tabs>
        <w:spacing w:after="0" w:line="240" w:lineRule="auto"/>
        <w:jc w:val="both"/>
        <w:rPr>
          <w:rFonts w:eastAsia="Times New Roman" w:cs="Arial"/>
          <w:lang w:eastAsia="de-DE"/>
        </w:rPr>
      </w:pPr>
      <w:r>
        <w:rPr>
          <w:rFonts w:eastAsia="Times New Roman" w:cs="Arial"/>
          <w:lang w:eastAsia="de-DE"/>
        </w:rPr>
        <w:t>Hat einen Klimawandel hinter sich. Die Bewohner (Roboter) haben alle fossilen Brennstoffe aufgebraucht und der Kohlendioxidgehalt der Atmosphäre ist auf das Hundertfache des ursprünglichen Wertes angestiegen. Der Luftdruck und die Temperatur entsprechen allerdings dem der Erde.</w:t>
      </w:r>
    </w:p>
    <w:p w14:paraId="777ED45F" w14:textId="77777777" w:rsidR="008F141E" w:rsidRPr="003026DB" w:rsidRDefault="008F141E" w:rsidP="008F141E">
      <w:pPr>
        <w:spacing w:line="360" w:lineRule="auto"/>
        <w:jc w:val="both"/>
        <w:rPr>
          <w:rFonts w:cs="Arial"/>
          <w:bCs/>
        </w:rPr>
      </w:pPr>
    </w:p>
    <w:p w14:paraId="1EBD2D70" w14:textId="0BD5FE2C" w:rsidR="008F141E" w:rsidRPr="003026DB" w:rsidRDefault="003026DB" w:rsidP="004E4229">
      <w:pPr>
        <w:pStyle w:val="KeinLeerraum"/>
        <w:jc w:val="both"/>
      </w:pPr>
      <w:r w:rsidRPr="003026DB">
        <w:t>Gerade in der Einführungsphase empfiehlt es sich</w:t>
      </w:r>
      <w:r>
        <w:t xml:space="preserve">, die Operatoren zusammen mit </w:t>
      </w:r>
      <w:r w:rsidR="004E4229">
        <w:t xml:space="preserve">den </w:t>
      </w:r>
      <w:r>
        <w:t>Schülerinnen und Schülern immer wieder einzuüben</w:t>
      </w:r>
      <w:r w:rsidR="004E4229">
        <w:t xml:space="preserve"> bzw. diese als Zusatzinformationen in der Aufgabenstellung mit anzugeben.  </w:t>
      </w:r>
      <w:r w:rsidRPr="003026DB">
        <w:t xml:space="preserve"> </w:t>
      </w:r>
    </w:p>
    <w:p w14:paraId="3F7D10D3" w14:textId="0210F80E" w:rsidR="008F141E" w:rsidRPr="008F141E" w:rsidRDefault="008F141E" w:rsidP="008F141E">
      <w:pPr>
        <w:spacing w:line="360" w:lineRule="auto"/>
        <w:jc w:val="both"/>
        <w:rPr>
          <w:b/>
          <w:sz w:val="32"/>
          <w:szCs w:val="32"/>
        </w:rPr>
      </w:pPr>
      <w:r w:rsidRPr="008F141E">
        <w:rPr>
          <w:rFonts w:cs="Arial"/>
          <w:b/>
          <w:sz w:val="28"/>
          <w:szCs w:val="28"/>
        </w:rPr>
        <w:lastRenderedPageBreak/>
        <w:t>Zusatzinformationen</w:t>
      </w:r>
    </w:p>
    <w:tbl>
      <w:tblPr>
        <w:tblW w:w="9062" w:type="dxa"/>
        <w:tblCellMar>
          <w:left w:w="10" w:type="dxa"/>
          <w:right w:w="10" w:type="dxa"/>
        </w:tblCellMar>
        <w:tblLook w:val="0000" w:firstRow="0" w:lastRow="0" w:firstColumn="0" w:lastColumn="0" w:noHBand="0" w:noVBand="0"/>
      </w:tblPr>
      <w:tblGrid>
        <w:gridCol w:w="1884"/>
        <w:gridCol w:w="7178"/>
      </w:tblGrid>
      <w:tr w:rsidR="008F141E" w14:paraId="0A4F1067" w14:textId="77777777" w:rsidTr="008F141E">
        <w:tc>
          <w:tcPr>
            <w:tcW w:w="188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3BFB4EF0" w14:textId="77777777" w:rsidR="008F141E" w:rsidRPr="008F141E" w:rsidRDefault="008F141E" w:rsidP="008F141E">
            <w:pPr>
              <w:spacing w:after="0" w:line="240" w:lineRule="auto"/>
              <w:jc w:val="center"/>
              <w:rPr>
                <w:rFonts w:asciiTheme="minorHAnsi" w:eastAsia="Times New Roman" w:hAnsiTheme="minorHAnsi" w:cstheme="minorHAnsi"/>
                <w:b/>
                <w:bCs/>
                <w:lang w:eastAsia="de-DE"/>
              </w:rPr>
            </w:pPr>
            <w:r w:rsidRPr="008F141E">
              <w:rPr>
                <w:rFonts w:asciiTheme="minorHAnsi" w:eastAsia="Times New Roman" w:hAnsiTheme="minorHAnsi" w:cstheme="minorHAnsi"/>
                <w:b/>
                <w:bCs/>
                <w:lang w:eastAsia="de-DE"/>
              </w:rPr>
              <w:t>erklären</w:t>
            </w:r>
          </w:p>
        </w:tc>
        <w:tc>
          <w:tcPr>
            <w:tcW w:w="7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01053" w14:textId="77777777" w:rsidR="008F141E" w:rsidRPr="008F141E" w:rsidRDefault="008F141E" w:rsidP="000078CD">
            <w:pPr>
              <w:spacing w:after="0" w:line="240" w:lineRule="auto"/>
              <w:jc w:val="both"/>
              <w:rPr>
                <w:rFonts w:asciiTheme="minorHAnsi" w:eastAsia="Times New Roman" w:hAnsiTheme="minorHAnsi" w:cstheme="minorHAnsi"/>
                <w:lang w:eastAsia="de-DE"/>
              </w:rPr>
            </w:pPr>
            <w:r w:rsidRPr="008F141E">
              <w:rPr>
                <w:rFonts w:asciiTheme="minorHAnsi" w:eastAsia="Times New Roman" w:hAnsiTheme="minorHAnsi" w:cstheme="minorHAnsi"/>
                <w:lang w:eastAsia="de-DE"/>
              </w:rPr>
              <w:t xml:space="preserve">Zusammenhänge eines Sachverhaltes erfassen und auf allgemeine Aussagen zurückführen </w:t>
            </w:r>
          </w:p>
        </w:tc>
      </w:tr>
      <w:tr w:rsidR="008F141E" w14:paraId="0439139C" w14:textId="77777777" w:rsidTr="008F141E">
        <w:tc>
          <w:tcPr>
            <w:tcW w:w="188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16350780" w14:textId="1EC41181" w:rsidR="008F141E" w:rsidRPr="008F141E" w:rsidRDefault="008F141E" w:rsidP="008F141E">
            <w:pPr>
              <w:spacing w:after="0" w:line="240" w:lineRule="auto"/>
              <w:jc w:val="center"/>
              <w:rPr>
                <w:rFonts w:asciiTheme="minorHAnsi" w:eastAsia="Times New Roman" w:hAnsiTheme="minorHAnsi" w:cstheme="minorHAnsi"/>
                <w:b/>
                <w:bCs/>
                <w:lang w:eastAsia="de-DE"/>
              </w:rPr>
            </w:pPr>
            <w:r w:rsidRPr="008F141E">
              <w:rPr>
                <w:rFonts w:asciiTheme="minorHAnsi" w:eastAsia="Times New Roman" w:hAnsiTheme="minorHAnsi" w:cstheme="minorHAnsi"/>
                <w:b/>
                <w:bCs/>
                <w:lang w:eastAsia="de-DE"/>
              </w:rPr>
              <w:t>erläutern</w:t>
            </w:r>
          </w:p>
        </w:tc>
        <w:tc>
          <w:tcPr>
            <w:tcW w:w="7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894D" w14:textId="5A2031A0" w:rsidR="008F141E" w:rsidRPr="008F141E" w:rsidRDefault="008F141E" w:rsidP="000078CD">
            <w:pPr>
              <w:spacing w:after="0" w:line="240" w:lineRule="auto"/>
              <w:jc w:val="both"/>
              <w:rPr>
                <w:rFonts w:asciiTheme="minorHAnsi" w:eastAsia="Times New Roman" w:hAnsiTheme="minorHAnsi" w:cstheme="minorHAnsi"/>
                <w:lang w:eastAsia="de-DE"/>
              </w:rPr>
            </w:pPr>
            <w:r w:rsidRPr="008F141E">
              <w:rPr>
                <w:rFonts w:asciiTheme="minorHAnsi" w:eastAsia="Times New Roman" w:hAnsiTheme="minorHAnsi" w:cstheme="minorHAnsi"/>
                <w:lang w:eastAsia="de-DE"/>
              </w:rPr>
              <w:t>Wesentliche Seiten eines Sachverhalts an Beispielen oder durch zusätzliche Informationen verständlich machen (hier: AFB II)</w:t>
            </w:r>
          </w:p>
        </w:tc>
      </w:tr>
      <w:tr w:rsidR="008F141E" w14:paraId="5140DE47" w14:textId="77777777" w:rsidTr="008F141E">
        <w:tc>
          <w:tcPr>
            <w:tcW w:w="188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1CB209D6" w14:textId="77777777" w:rsidR="008F141E" w:rsidRPr="008F141E" w:rsidRDefault="008F141E" w:rsidP="008F141E">
            <w:pPr>
              <w:spacing w:after="0" w:line="240" w:lineRule="auto"/>
              <w:jc w:val="center"/>
              <w:rPr>
                <w:rFonts w:asciiTheme="minorHAnsi" w:eastAsia="Times New Roman" w:hAnsiTheme="minorHAnsi" w:cstheme="minorHAnsi"/>
                <w:b/>
                <w:bCs/>
                <w:lang w:eastAsia="de-DE"/>
              </w:rPr>
            </w:pPr>
            <w:r w:rsidRPr="008F141E">
              <w:rPr>
                <w:rFonts w:asciiTheme="minorHAnsi" w:eastAsia="Times New Roman" w:hAnsiTheme="minorHAnsi" w:cstheme="minorHAnsi"/>
                <w:b/>
                <w:bCs/>
                <w:lang w:eastAsia="de-DE"/>
              </w:rPr>
              <w:t>beurteilen</w:t>
            </w:r>
          </w:p>
        </w:tc>
        <w:tc>
          <w:tcPr>
            <w:tcW w:w="7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01920" w14:textId="77777777" w:rsidR="008F141E" w:rsidRPr="008F141E" w:rsidRDefault="008F141E" w:rsidP="000078CD">
            <w:pPr>
              <w:spacing w:after="0" w:line="240" w:lineRule="auto"/>
              <w:jc w:val="both"/>
              <w:rPr>
                <w:rFonts w:asciiTheme="minorHAnsi" w:eastAsia="Times New Roman" w:hAnsiTheme="minorHAnsi" w:cstheme="minorHAnsi"/>
                <w:lang w:eastAsia="de-DE"/>
              </w:rPr>
            </w:pPr>
            <w:r w:rsidRPr="008F141E">
              <w:rPr>
                <w:rFonts w:asciiTheme="minorHAnsi" w:eastAsia="Times New Roman" w:hAnsiTheme="minorHAnsi" w:cstheme="minorHAnsi"/>
                <w:lang w:eastAsia="de-DE"/>
              </w:rPr>
              <w:t>Zu einem Sachverhalt eine selbständige Einschätzung nach fachwissenschaftlichen Kriterien abgeben (AFB III)</w:t>
            </w:r>
          </w:p>
        </w:tc>
      </w:tr>
      <w:tr w:rsidR="008F141E" w14:paraId="58F702BC" w14:textId="77777777" w:rsidTr="008F141E">
        <w:trPr>
          <w:trHeight w:val="351"/>
        </w:trPr>
        <w:tc>
          <w:tcPr>
            <w:tcW w:w="188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vAlign w:val="center"/>
          </w:tcPr>
          <w:p w14:paraId="409C3B29" w14:textId="62E04A51" w:rsidR="008F141E" w:rsidRPr="008F141E" w:rsidRDefault="008F141E" w:rsidP="008F141E">
            <w:pPr>
              <w:spacing w:after="0" w:line="240" w:lineRule="auto"/>
              <w:jc w:val="center"/>
              <w:rPr>
                <w:rFonts w:asciiTheme="minorHAnsi" w:eastAsia="Times New Roman" w:hAnsiTheme="minorHAnsi" w:cstheme="minorHAnsi"/>
                <w:b/>
                <w:bCs/>
                <w:lang w:eastAsia="de-DE"/>
              </w:rPr>
            </w:pPr>
            <w:r w:rsidRPr="008F141E">
              <w:rPr>
                <w:rFonts w:asciiTheme="minorHAnsi" w:eastAsia="Times New Roman" w:hAnsiTheme="minorHAnsi" w:cstheme="minorHAnsi"/>
                <w:b/>
                <w:bCs/>
                <w:lang w:eastAsia="de-DE"/>
              </w:rPr>
              <w:t>angeben</w:t>
            </w:r>
          </w:p>
        </w:tc>
        <w:tc>
          <w:tcPr>
            <w:tcW w:w="7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666EA" w14:textId="7FFC4531" w:rsidR="008F141E" w:rsidRPr="008F141E" w:rsidRDefault="008F141E" w:rsidP="000078CD">
            <w:pPr>
              <w:spacing w:after="0" w:line="240" w:lineRule="auto"/>
              <w:rPr>
                <w:rFonts w:asciiTheme="minorHAnsi" w:hAnsiTheme="minorHAnsi" w:cstheme="minorHAnsi"/>
              </w:rPr>
            </w:pPr>
            <w:r w:rsidRPr="008F141E">
              <w:rPr>
                <w:rFonts w:asciiTheme="minorHAnsi" w:hAnsiTheme="minorHAnsi" w:cstheme="minorHAnsi"/>
              </w:rPr>
              <w:t>Elemente, Sachverhalte, Begriffe, Daten ohne nähere Erläuterungen aufzählen</w:t>
            </w:r>
            <w:r w:rsidR="00AA2473">
              <w:rPr>
                <w:rFonts w:asciiTheme="minorHAnsi" w:hAnsiTheme="minorHAnsi" w:cstheme="minorHAnsi"/>
              </w:rPr>
              <w:t xml:space="preserve"> </w:t>
            </w:r>
            <w:r w:rsidRPr="008F141E">
              <w:rPr>
                <w:rFonts w:asciiTheme="minorHAnsi" w:eastAsia="Times New Roman" w:hAnsiTheme="minorHAnsi" w:cstheme="minorHAnsi"/>
                <w:lang w:eastAsia="de-DE"/>
              </w:rPr>
              <w:t xml:space="preserve">(AFB I)    </w:t>
            </w:r>
          </w:p>
        </w:tc>
      </w:tr>
    </w:tbl>
    <w:p w14:paraId="1730DD70" w14:textId="77777777" w:rsidR="008F141E" w:rsidRDefault="008F141E" w:rsidP="008F141E">
      <w:pPr>
        <w:spacing w:line="360" w:lineRule="auto"/>
        <w:jc w:val="both"/>
      </w:pPr>
    </w:p>
    <w:p w14:paraId="7786FF19" w14:textId="41ADB24C" w:rsidR="00983C22" w:rsidRPr="00983C22" w:rsidRDefault="00983C22" w:rsidP="008F141E">
      <w:pPr>
        <w:spacing w:line="259" w:lineRule="auto"/>
        <w:jc w:val="both"/>
        <w:rPr>
          <w:b/>
          <w:bCs/>
          <w:sz w:val="28"/>
          <w:szCs w:val="28"/>
        </w:rPr>
      </w:pPr>
      <w:r w:rsidRPr="00983C22">
        <w:rPr>
          <w:b/>
          <w:bCs/>
          <w:sz w:val="28"/>
          <w:szCs w:val="28"/>
        </w:rPr>
        <w:t>Übungsphase/ sprachsensible Gestaltung</w:t>
      </w:r>
    </w:p>
    <w:p w14:paraId="613F58CD" w14:textId="5FE21226" w:rsidR="00985DC6" w:rsidRPr="00985DC6" w:rsidRDefault="0021199C" w:rsidP="00985DC6">
      <w:pPr>
        <w:jc w:val="both"/>
      </w:pPr>
      <w:r>
        <w:t>In der</w:t>
      </w:r>
      <w:r w:rsidR="00985DC6">
        <w:t xml:space="preserve"> Übungsphase lautet die zentrale Frage:</w:t>
      </w:r>
    </w:p>
    <w:p w14:paraId="72603C28" w14:textId="70F0CEED" w:rsidR="00985DC6" w:rsidRDefault="00985DC6" w:rsidP="00985DC6">
      <w:pPr>
        <w:jc w:val="both"/>
        <w:rPr>
          <w:b/>
          <w:bCs/>
          <w:i/>
          <w:iCs/>
        </w:rPr>
      </w:pPr>
      <w:r w:rsidRPr="003032BD">
        <w:rPr>
          <w:b/>
          <w:bCs/>
          <w:i/>
          <w:iCs/>
        </w:rPr>
        <w:t xml:space="preserve">Wie schafft man es, die Alltagssprache der Schülerinnen und Schüler um die Fachsprache zu erweitern, damit sie fachliche Inhalte adäquat ausdrücken können und die Textqualität zunimmt? </w:t>
      </w:r>
    </w:p>
    <w:p w14:paraId="189717C9" w14:textId="643395CD" w:rsidR="00C07C03" w:rsidRDefault="003B47E1" w:rsidP="00983C22">
      <w:pPr>
        <w:jc w:val="both"/>
      </w:pPr>
      <w:r>
        <w:t xml:space="preserve">Am Anfang steht dabei für die Lehrkraft eine Bedarfsanalyse der Lerngruppe in Bezug auf die Rezeption von Aufgaben und Texten sowie </w:t>
      </w:r>
      <w:r w:rsidR="0004375B">
        <w:t>bei der</w:t>
      </w:r>
      <w:r>
        <w:t xml:space="preserve"> Reproduktion von Wissen im Unterrichtsgespräch.</w:t>
      </w:r>
      <w:r w:rsidR="00FF6106">
        <w:t xml:space="preserve"> </w:t>
      </w:r>
      <w:r w:rsidR="00985DC6">
        <w:t xml:space="preserve">Für die </w:t>
      </w:r>
      <w:r w:rsidR="00983C22">
        <w:t xml:space="preserve">sprachsensiblen Gestaltung von Unterricht in der Sekundarstufe II </w:t>
      </w:r>
      <w:r w:rsidR="00985DC6">
        <w:t>bedeutet das</w:t>
      </w:r>
      <w:r>
        <w:t xml:space="preserve"> in den meisten Fällen</w:t>
      </w:r>
      <w:r w:rsidR="00985DC6">
        <w:t>, einen</w:t>
      </w:r>
      <w:r w:rsidR="00983C22">
        <w:t xml:space="preserve"> Fokus auf d</w:t>
      </w:r>
      <w:r w:rsidR="00323DB2">
        <w:t>ie</w:t>
      </w:r>
      <w:r w:rsidR="00983C22">
        <w:t xml:space="preserve"> Bildungssprache</w:t>
      </w:r>
      <w:r w:rsidR="00983C22">
        <w:rPr>
          <w:rStyle w:val="Funotenzeichen"/>
        </w:rPr>
        <w:footnoteReference w:id="2"/>
      </w:r>
      <w:r w:rsidR="00983C22">
        <w:t xml:space="preserve"> </w:t>
      </w:r>
      <w:r w:rsidR="00323DB2">
        <w:t xml:space="preserve">zu setzen </w:t>
      </w:r>
      <w:r w:rsidR="00983C22">
        <w:t>und d</w:t>
      </w:r>
      <w:r w:rsidR="00323DB2">
        <w:t>ie</w:t>
      </w:r>
      <w:r w:rsidR="00983C22">
        <w:t xml:space="preserve"> </w:t>
      </w:r>
      <w:r w:rsidR="00323DB2">
        <w:t xml:space="preserve">Ausdrucksmöglichkeiten in der </w:t>
      </w:r>
      <w:r w:rsidR="00983C22">
        <w:t xml:space="preserve">Fachsprache </w:t>
      </w:r>
      <w:r w:rsidR="00323DB2">
        <w:t>weiterzuentwickeln</w:t>
      </w:r>
      <w:r w:rsidR="00845BEE">
        <w:t>, denn Sprache und Fachwissen sind miteinander verwoben.</w:t>
      </w:r>
      <w:r w:rsidR="00983C22">
        <w:t xml:space="preserve"> </w:t>
      </w:r>
    </w:p>
    <w:p w14:paraId="217D13E5" w14:textId="4CF971FF" w:rsidR="00983C22" w:rsidRDefault="00983C22" w:rsidP="00983C22">
      <w:pPr>
        <w:jc w:val="both"/>
      </w:pPr>
      <w:r>
        <w:t>Vermeidungsstrategien</w:t>
      </w:r>
      <w:r w:rsidR="00323DB2">
        <w:t xml:space="preserve"> z.B. durch den Gebrauch ungeeigneter oder einfacher Verben</w:t>
      </w:r>
      <w:r w:rsidR="00143B1C">
        <w:t xml:space="preserve"> bzw. „Jokerbegriffe“</w:t>
      </w:r>
      <w:r>
        <w:t>, schematische Reihungen</w:t>
      </w:r>
      <w:r w:rsidR="0021199C">
        <w:t xml:space="preserve"> und so genannte </w:t>
      </w:r>
      <w:r>
        <w:t>„ADUSO“-Konnektoren</w:t>
      </w:r>
      <w:r>
        <w:rPr>
          <w:rStyle w:val="Funotenzeichen"/>
        </w:rPr>
        <w:footnoteReference w:id="3"/>
      </w:r>
      <w:r w:rsidR="00323DB2">
        <w:t xml:space="preserve"> soll</w:t>
      </w:r>
      <w:r w:rsidR="004B26F2">
        <w:t xml:space="preserve">ten analysiert werden und deren Vermeidung als zusätzliches Lernziel in den Unterricht mit aufgenommen werden. </w:t>
      </w:r>
    </w:p>
    <w:p w14:paraId="0C945AFE" w14:textId="0830E791" w:rsidR="004B26F2" w:rsidRDefault="003B47E1" w:rsidP="00983C22">
      <w:pPr>
        <w:jc w:val="both"/>
      </w:pPr>
      <w:r>
        <w:t>A</w:t>
      </w:r>
      <w:r w:rsidR="00845BEE">
        <w:t>ber auch Lehrwerkstexte müssen in den Blick genommen werden</w:t>
      </w:r>
      <w:r w:rsidR="00C07C03">
        <w:t>, denn hier findet sich ein großer Anteil sprachlicher Formen, deren Beherrschung die Schule für das Lernen als selbstverständlich voraussetzt. Diese Sprachkompetenz wird allerdings von den Lernenden nicht unbedingt mit in die Schule eingebracht:</w:t>
      </w:r>
    </w:p>
    <w:p w14:paraId="3162783E" w14:textId="212964A0" w:rsidR="00657A7C" w:rsidRPr="00657A7C" w:rsidRDefault="00657A7C" w:rsidP="00657A7C">
      <w:pPr>
        <w:pStyle w:val="Listenabsatz"/>
        <w:rPr>
          <w:i/>
          <w:iCs/>
          <w:u w:val="single"/>
        </w:rPr>
      </w:pPr>
      <w:r>
        <w:rPr>
          <w:i/>
          <w:iCs/>
          <w:u w:val="single"/>
        </w:rPr>
        <w:t>„</w:t>
      </w:r>
      <w:r w:rsidRPr="00657A7C">
        <w:rPr>
          <w:i/>
          <w:iCs/>
          <w:u w:val="single"/>
        </w:rPr>
        <w:t>Doline</w:t>
      </w:r>
    </w:p>
    <w:p w14:paraId="314AA7B6" w14:textId="2DB4A2F1" w:rsidR="00657A7C" w:rsidRPr="00657A7C" w:rsidRDefault="00657A7C" w:rsidP="0074500C">
      <w:pPr>
        <w:pStyle w:val="Listenabsatz"/>
        <w:jc w:val="both"/>
        <w:rPr>
          <w:i/>
          <w:iCs/>
        </w:rPr>
      </w:pPr>
      <w:r w:rsidRPr="00657A7C">
        <w:rPr>
          <w:i/>
          <w:iCs/>
        </w:rPr>
        <w:t xml:space="preserve">Wenn die Decke einer unterirdischen Höhle einbricht oder aber der Kalkstein von der Albhochfläche her durch kohlensäurehaltiges Wasser aufgelöst wird, entstehen trichterförmige Vertiefungen. Diese werden Dolinen genannt und können viele Meter tief sein. </w:t>
      </w:r>
    </w:p>
    <w:p w14:paraId="184C293C" w14:textId="3CD69BBE" w:rsidR="00657A7C" w:rsidRPr="00657A7C" w:rsidRDefault="00657A7C" w:rsidP="0074500C">
      <w:pPr>
        <w:pStyle w:val="Listenabsatz"/>
        <w:jc w:val="both"/>
        <w:rPr>
          <w:i/>
          <w:iCs/>
          <w:u w:val="single"/>
        </w:rPr>
      </w:pPr>
      <w:r w:rsidRPr="00657A7C">
        <w:rPr>
          <w:i/>
          <w:iCs/>
          <w:u w:val="single"/>
        </w:rPr>
        <w:t>Tropfsteinhöhle</w:t>
      </w:r>
    </w:p>
    <w:p w14:paraId="57246C3A" w14:textId="1D1B4FC1" w:rsidR="00657A7C" w:rsidRPr="00657A7C" w:rsidRDefault="00657A7C" w:rsidP="0074500C">
      <w:pPr>
        <w:pStyle w:val="Listenabsatz"/>
        <w:jc w:val="both"/>
        <w:rPr>
          <w:i/>
          <w:iCs/>
        </w:rPr>
      </w:pPr>
      <w:r w:rsidRPr="00657A7C">
        <w:rPr>
          <w:i/>
          <w:iCs/>
        </w:rPr>
        <w:t>Wenn in Karsthöhlen stark kalkhaltiges Wasser durch Risse und Klüfte an die Höhlendecke gelangt, wird ein Teil des Kalkes bereits abgelagert. Fällt der Tropfen kalkhaltigen Wassers von der Decke auf den Höhlenboden entweicht weiteres Kohlenstoffdioxid, so dass das Wasser seine Fähigkeit zur Kalklösung verliert und Kalk entsteht.</w:t>
      </w:r>
      <w:r>
        <w:rPr>
          <w:i/>
          <w:iCs/>
        </w:rPr>
        <w:t>“</w:t>
      </w:r>
      <w:r w:rsidR="0074500C">
        <w:rPr>
          <w:rStyle w:val="Funotenzeichen"/>
          <w:i/>
          <w:iCs/>
        </w:rPr>
        <w:footnoteReference w:id="4"/>
      </w:r>
      <w:r w:rsidRPr="00657A7C">
        <w:rPr>
          <w:i/>
          <w:iCs/>
        </w:rPr>
        <w:t xml:space="preserve"> </w:t>
      </w:r>
    </w:p>
    <w:p w14:paraId="6B20767F" w14:textId="77777777" w:rsidR="00214F8F" w:rsidRDefault="00272EC0" w:rsidP="00657A7C">
      <w:pPr>
        <w:spacing w:line="240" w:lineRule="auto"/>
        <w:jc w:val="both"/>
      </w:pPr>
      <w:r>
        <w:t>Beim Lesen</w:t>
      </w:r>
      <w:r w:rsidR="00845BEE">
        <w:t xml:space="preserve"> von solchen </w:t>
      </w:r>
      <w:r w:rsidR="005F656B">
        <w:t xml:space="preserve">fachlichen </w:t>
      </w:r>
      <w:r>
        <w:t xml:space="preserve">Beschreibungen </w:t>
      </w:r>
      <w:r w:rsidR="003B47E1">
        <w:t>können auf Seite der Lernenden</w:t>
      </w:r>
      <w:r>
        <w:t xml:space="preserve"> Schwierigkeiten auftreten</w:t>
      </w:r>
      <w:r w:rsidR="005F656B">
        <w:t xml:space="preserve"> durch die Verwendung der typischen Schriftsprache, die geprägt ist durch Präfixe, Passivformen</w:t>
      </w:r>
      <w:r w:rsidR="00E24993">
        <w:t>, Nominalisierungen, Attribute</w:t>
      </w:r>
      <w:r w:rsidR="005F656B">
        <w:t xml:space="preserve"> und Komposita. </w:t>
      </w:r>
    </w:p>
    <w:p w14:paraId="0FB88848" w14:textId="58C07A4B" w:rsidR="00845BEE" w:rsidRDefault="005F656B" w:rsidP="00657A7C">
      <w:pPr>
        <w:spacing w:line="240" w:lineRule="auto"/>
        <w:jc w:val="both"/>
      </w:pPr>
      <w:r>
        <w:t>Es hat sich gezeigt, dass vor allem Präpositionen oft nicht wahrgenommen und Kausalitäten durch komplexe Satzstrukturen und Satzverknüpfungen nicht erkannt werden.</w:t>
      </w:r>
    </w:p>
    <w:p w14:paraId="22640786" w14:textId="77777777" w:rsidR="00AA7DC9" w:rsidRDefault="005F656B" w:rsidP="00657A7C">
      <w:pPr>
        <w:spacing w:line="240" w:lineRule="auto"/>
        <w:jc w:val="both"/>
      </w:pPr>
      <w:r>
        <w:t xml:space="preserve">Hier kann man Unterstützung leisten </w:t>
      </w:r>
      <w:r w:rsidR="00AA7DC9">
        <w:t xml:space="preserve">sowohl </w:t>
      </w:r>
      <w:r w:rsidR="00537332">
        <w:t xml:space="preserve">auf der Wortebene </w:t>
      </w:r>
      <w:r w:rsidR="00AA7DC9">
        <w:t>als auch</w:t>
      </w:r>
      <w:r w:rsidR="00537332">
        <w:t xml:space="preserve"> der Satzebene</w:t>
      </w:r>
      <w:r w:rsidR="00AA7DC9">
        <w:t>.</w:t>
      </w:r>
    </w:p>
    <w:p w14:paraId="7284E779" w14:textId="5B8EB6D0" w:rsidR="005F656B" w:rsidRDefault="0004375B" w:rsidP="00657A7C">
      <w:pPr>
        <w:spacing w:line="240" w:lineRule="auto"/>
        <w:jc w:val="both"/>
      </w:pPr>
      <w:r>
        <w:t xml:space="preserve">Mit der Einführung von </w:t>
      </w:r>
      <w:r w:rsidR="00E24993">
        <w:t>Wort</w:t>
      </w:r>
      <w:r w:rsidR="00AA7DC9">
        <w:t>hilfen</w:t>
      </w:r>
      <w:r>
        <w:t xml:space="preserve">, die </w:t>
      </w:r>
      <w:r w:rsidR="00E24993">
        <w:t xml:space="preserve">evtl. </w:t>
      </w:r>
      <w:r w:rsidR="00966650">
        <w:t xml:space="preserve">sogar </w:t>
      </w:r>
      <w:r w:rsidR="00E24993">
        <w:t>mit Erklärung angefertigt werden</w:t>
      </w:r>
      <w:r w:rsidR="00B06CF6">
        <w:t>,</w:t>
      </w:r>
      <w:r w:rsidR="00966650">
        <w:t xml:space="preserve"> </w:t>
      </w:r>
      <w:r>
        <w:t>kann</w:t>
      </w:r>
      <w:r w:rsidR="00966650">
        <w:t xml:space="preserve"> langfristig ein (Fach-)</w:t>
      </w:r>
      <w:r w:rsidR="00AA7DC9">
        <w:t>W</w:t>
      </w:r>
      <w:r w:rsidR="00966650">
        <w:t>ortschatz</w:t>
      </w:r>
      <w:r w:rsidR="00AA7DC9">
        <w:t>glossar</w:t>
      </w:r>
      <w:r w:rsidR="00966650">
        <w:t xml:space="preserve"> </w:t>
      </w:r>
      <w:r w:rsidR="00AA7DC9">
        <w:t>aufgebaut w</w:t>
      </w:r>
      <w:r>
        <w:t>e</w:t>
      </w:r>
      <w:r w:rsidR="00AA7DC9">
        <w:t>rd</w:t>
      </w:r>
      <w:r>
        <w:t>en</w:t>
      </w:r>
      <w:r w:rsidR="00AA7DC9">
        <w:t>.</w:t>
      </w:r>
      <w:r w:rsidR="00AA7DC9">
        <w:rPr>
          <w:rStyle w:val="Funotenzeichen"/>
        </w:rPr>
        <w:footnoteReference w:id="5"/>
      </w:r>
      <w:r w:rsidR="00AA7DC9">
        <w:t xml:space="preserve"> </w:t>
      </w:r>
    </w:p>
    <w:p w14:paraId="18A67881" w14:textId="5ACB9507" w:rsidR="00983C22" w:rsidRDefault="007A70F7" w:rsidP="00657A7C">
      <w:pPr>
        <w:spacing w:line="240" w:lineRule="auto"/>
        <w:jc w:val="both"/>
      </w:pPr>
      <w:r>
        <w:t>D</w:t>
      </w:r>
      <w:r w:rsidR="00983C22">
        <w:t xml:space="preserve">ie </w:t>
      </w:r>
      <w:r>
        <w:t>Didaktisierung der Lehrwerke ist</w:t>
      </w:r>
      <w:r w:rsidR="00983C22">
        <w:t xml:space="preserve"> </w:t>
      </w:r>
      <w:r w:rsidR="00D61EEF">
        <w:t xml:space="preserve">in dieser Hinsicht </w:t>
      </w:r>
      <w:r>
        <w:t xml:space="preserve">allerdings </w:t>
      </w:r>
      <w:r w:rsidR="00983C22">
        <w:t>erst am Anfang der Entwicklung</w:t>
      </w:r>
      <w:r>
        <w:t>.</w:t>
      </w:r>
      <w:r w:rsidR="00983C22">
        <w:t xml:space="preserve"> Linguistische Modelle zur Mündlichkeit (BICS</w:t>
      </w:r>
      <w:r w:rsidR="00983C22">
        <w:rPr>
          <w:rStyle w:val="Funotenzeichen"/>
        </w:rPr>
        <w:footnoteReference w:id="6"/>
      </w:r>
      <w:r w:rsidR="00983C22">
        <w:t>) und Sprachlichkeit (CALP</w:t>
      </w:r>
      <w:r w:rsidR="00983C22">
        <w:rPr>
          <w:rStyle w:val="Funotenzeichen"/>
        </w:rPr>
        <w:footnoteReference w:id="7"/>
      </w:r>
      <w:r w:rsidR="00983C22">
        <w:t>) nach Cummings</w:t>
      </w:r>
      <w:r w:rsidR="00983C22">
        <w:rPr>
          <w:rStyle w:val="Funotenzeichen"/>
        </w:rPr>
        <w:footnoteReference w:id="8"/>
      </w:r>
      <w:r w:rsidR="00983C22">
        <w:t xml:space="preserve"> müssen noch auf die einzelnen Fächer übertragen werden, z.B. in Form eines integrativen Modells, bei dem man das fachliche Lernziel um ein sprachliches Lernziel erweitert. </w:t>
      </w:r>
      <w:r w:rsidR="00FA546D">
        <w:t>Jedoch hat auch hier der Umdenkprozess schon begonnen.</w:t>
      </w:r>
    </w:p>
    <w:p w14:paraId="4569B146" w14:textId="4318F06B" w:rsidR="00983C22" w:rsidRDefault="00983C22" w:rsidP="00983C22">
      <w:pPr>
        <w:jc w:val="both"/>
      </w:pPr>
      <w:r>
        <w:t>Am aussichtsreichsten für die (einfache) Umsetzung im Alltagsunterricht scheint das Scaffolding</w:t>
      </w:r>
      <w:r>
        <w:rPr>
          <w:rStyle w:val="Funotenzeichen"/>
        </w:rPr>
        <w:footnoteReference w:id="9"/>
      </w:r>
      <w:r>
        <w:t xml:space="preserve"> nach Pauline Gibbons zu sein. Dieses „Baugerüst“ mit seinen Zwischenschritten und Hilfen kann insbesondere für Förder- und Übungsaufgaben </w:t>
      </w:r>
      <w:r w:rsidR="0011122E">
        <w:t xml:space="preserve">gut </w:t>
      </w:r>
      <w:r>
        <w:t xml:space="preserve">genutzt werden. </w:t>
      </w:r>
    </w:p>
    <w:p w14:paraId="5437FBE5" w14:textId="60FB08B5" w:rsidR="0021199C" w:rsidRDefault="0021199C" w:rsidP="0021199C">
      <w:pPr>
        <w:spacing w:line="259" w:lineRule="auto"/>
        <w:jc w:val="both"/>
      </w:pPr>
      <w:r>
        <w:t xml:space="preserve">Als Hilfestellung in der Übungsphase kann man hier </w:t>
      </w:r>
      <w:r>
        <w:rPr>
          <w:b/>
        </w:rPr>
        <w:t>Wortgeländer oder Satzbaumuster</w:t>
      </w:r>
      <w:r>
        <w:t xml:space="preserve"> vorgeben, z.B. zur Erläuterung der Dolinenbildung. Durch ein Mischen/ Auslassen der Worte</w:t>
      </w:r>
      <w:r w:rsidR="000410E7">
        <w:t>, Zuordnung der Reaktionsschemata</w:t>
      </w:r>
      <w:r w:rsidR="00B84E29">
        <w:t>, Formulierung der Wortgleichungen</w:t>
      </w:r>
      <w:r>
        <w:t xml:space="preserve"> oder auch bewusste Fallen (falsche Begriffe) kann man die Schwierigkeit individuell anpassen.</w:t>
      </w:r>
      <w:r w:rsidR="00524AB0">
        <w:t xml:space="preserve"> Dies sollte man vor der Testsituation einüben</w:t>
      </w:r>
      <w:r w:rsidR="000410E7">
        <w:t xml:space="preserve"> und evtl. Mustertexte und Lösungen anbieten.</w:t>
      </w:r>
    </w:p>
    <w:p w14:paraId="02C75D68" w14:textId="3AEF8C53" w:rsidR="0021199C" w:rsidRDefault="0021199C" w:rsidP="0021199C">
      <w:pPr>
        <w:pStyle w:val="KeinLeerraum"/>
        <w:numPr>
          <w:ilvl w:val="0"/>
          <w:numId w:val="20"/>
        </w:numPr>
        <w:spacing w:line="360" w:lineRule="auto"/>
      </w:pPr>
      <w:r>
        <w:t xml:space="preserve">Kalk – Löslichkeit – Wasser </w:t>
      </w:r>
      <w:r w:rsidR="000410E7">
        <w:t>–</w:t>
      </w:r>
      <w:r>
        <w:t xml:space="preserve"> </w:t>
      </w:r>
      <w:r w:rsidR="000410E7">
        <w:t>(</w:t>
      </w:r>
      <w:r>
        <w:t>gering</w:t>
      </w:r>
      <w:r w:rsidR="000410E7">
        <w:t>)</w:t>
      </w:r>
    </w:p>
    <w:p w14:paraId="355710C2" w14:textId="458D16C5" w:rsidR="0021199C" w:rsidRDefault="0021199C" w:rsidP="0021199C">
      <w:pPr>
        <w:pStyle w:val="KeinLeerraum"/>
        <w:numPr>
          <w:ilvl w:val="0"/>
          <w:numId w:val="20"/>
        </w:numPr>
        <w:spacing w:line="360" w:lineRule="auto"/>
      </w:pPr>
      <w:r>
        <w:t>Kohlendioxid (CO</w:t>
      </w:r>
      <w:r>
        <w:rPr>
          <w:vertAlign w:val="subscript"/>
        </w:rPr>
        <w:t>2</w:t>
      </w:r>
      <w:r>
        <w:t xml:space="preserve">) – Wasser – </w:t>
      </w:r>
      <w:r w:rsidR="000410E7">
        <w:t>(</w:t>
      </w:r>
      <w:r>
        <w:t>lösen</w:t>
      </w:r>
      <w:r w:rsidR="000410E7">
        <w:t>)</w:t>
      </w:r>
      <w:r>
        <w:t xml:space="preserve"> – Kohlensäure - Gleichgewicht</w:t>
      </w:r>
    </w:p>
    <w:p w14:paraId="682AC23C" w14:textId="173E4439" w:rsidR="0021199C" w:rsidRDefault="0021199C" w:rsidP="0021199C">
      <w:pPr>
        <w:pStyle w:val="KeinLeerraum"/>
        <w:numPr>
          <w:ilvl w:val="0"/>
          <w:numId w:val="20"/>
        </w:numPr>
        <w:spacing w:line="360" w:lineRule="auto"/>
      </w:pPr>
      <w:r>
        <w:t xml:space="preserve">Kalkstein – Risse – Wasser – </w:t>
      </w:r>
      <w:r w:rsidR="000410E7">
        <w:t>(</w:t>
      </w:r>
      <w:r>
        <w:t>eindringen</w:t>
      </w:r>
      <w:r w:rsidR="000410E7">
        <w:t>)</w:t>
      </w:r>
      <w:r>
        <w:t xml:space="preserve"> – Kohlensäure – Kalk – </w:t>
      </w:r>
      <w:r w:rsidR="000410E7">
        <w:t>(</w:t>
      </w:r>
      <w:r>
        <w:t>auflösen</w:t>
      </w:r>
      <w:r w:rsidR="000410E7">
        <w:t>)</w:t>
      </w:r>
    </w:p>
    <w:p w14:paraId="4D065B21" w14:textId="2BDC3107" w:rsidR="0021199C" w:rsidRDefault="0021199C" w:rsidP="002F51C2">
      <w:pPr>
        <w:pStyle w:val="KeinLeerraum"/>
        <w:numPr>
          <w:ilvl w:val="0"/>
          <w:numId w:val="20"/>
        </w:numPr>
        <w:spacing w:line="360" w:lineRule="auto"/>
      </w:pPr>
      <w:r>
        <w:t>Hohlräume – unterirdisch – groß</w:t>
      </w:r>
      <w:r w:rsidR="000410E7">
        <w:t xml:space="preserve"> - </w:t>
      </w:r>
      <w:r>
        <w:t>Einsturz – Doline – Loch - Unfall</w:t>
      </w:r>
    </w:p>
    <w:p w14:paraId="07E2EDA3" w14:textId="77777777" w:rsidR="0021199C" w:rsidRDefault="0021199C" w:rsidP="0021199C">
      <w:pPr>
        <w:spacing w:line="360" w:lineRule="auto"/>
        <w:jc w:val="both"/>
        <w:rPr>
          <w:sz w:val="8"/>
          <w:szCs w:val="8"/>
        </w:rPr>
      </w:pPr>
    </w:p>
    <w:p w14:paraId="27C3483A" w14:textId="77777777" w:rsidR="0021199C" w:rsidRDefault="0021199C" w:rsidP="0021199C">
      <w:pPr>
        <w:pStyle w:val="KeinLeerraum"/>
        <w:numPr>
          <w:ilvl w:val="0"/>
          <w:numId w:val="21"/>
        </w:numPr>
        <w:spacing w:line="360" w:lineRule="auto"/>
      </w:pPr>
      <w:bookmarkStart w:id="3" w:name="_Hlk499840355"/>
      <w:r>
        <w:t>CO</w:t>
      </w:r>
      <w:r>
        <w:rPr>
          <w:vertAlign w:val="subscript"/>
        </w:rPr>
        <w:t>2</w:t>
      </w:r>
      <w:r>
        <w:t xml:space="preserve"> + H</w:t>
      </w:r>
      <w:r>
        <w:rPr>
          <w:vertAlign w:val="subscript"/>
        </w:rPr>
        <w:t>2</w:t>
      </w:r>
      <w:r>
        <w:t xml:space="preserve">O   </w:t>
      </w:r>
      <w:r>
        <w:rPr>
          <w:rFonts w:ascii="Cambria Math" w:hAnsi="Cambria Math" w:cs="Cambria Math"/>
        </w:rPr>
        <w:t xml:space="preserve">⇌   </w:t>
      </w:r>
      <w:r>
        <w:rPr>
          <w:rFonts w:cs="Calibri"/>
        </w:rPr>
        <w:t>H</w:t>
      </w:r>
      <w:r>
        <w:rPr>
          <w:rFonts w:cs="Calibri"/>
          <w:vertAlign w:val="subscript"/>
        </w:rPr>
        <w:t>2</w:t>
      </w:r>
      <w:r>
        <w:rPr>
          <w:rFonts w:cs="Calibri"/>
        </w:rPr>
        <w:t>CO</w:t>
      </w:r>
      <w:r>
        <w:rPr>
          <w:rFonts w:cs="Calibri"/>
          <w:vertAlign w:val="subscript"/>
        </w:rPr>
        <w:t>3</w:t>
      </w:r>
    </w:p>
    <w:bookmarkEnd w:id="3"/>
    <w:p w14:paraId="09B6B3E3" w14:textId="77777777" w:rsidR="0021199C" w:rsidRDefault="0021199C" w:rsidP="0021199C">
      <w:pPr>
        <w:pStyle w:val="KeinLeerraum"/>
        <w:numPr>
          <w:ilvl w:val="0"/>
          <w:numId w:val="21"/>
        </w:numPr>
        <w:spacing w:line="360" w:lineRule="auto"/>
      </w:pPr>
      <w:r>
        <w:t>H</w:t>
      </w:r>
      <w:r>
        <w:rPr>
          <w:vertAlign w:val="subscript"/>
        </w:rPr>
        <w:t>2</w:t>
      </w:r>
      <w:r>
        <w:t>CO</w:t>
      </w:r>
      <w:r>
        <w:rPr>
          <w:vertAlign w:val="subscript"/>
        </w:rPr>
        <w:t>3</w:t>
      </w:r>
      <w:r>
        <w:t xml:space="preserve">   </w:t>
      </w:r>
      <w:r>
        <w:rPr>
          <w:rFonts w:ascii="Cambria Math" w:hAnsi="Cambria Math" w:cs="Cambria Math"/>
        </w:rPr>
        <w:t xml:space="preserve">⇌   </w:t>
      </w:r>
      <w:r>
        <w:rPr>
          <w:rFonts w:cs="Calibri"/>
        </w:rPr>
        <w:t>H</w:t>
      </w:r>
      <w:r>
        <w:rPr>
          <w:rFonts w:cs="Calibri"/>
          <w:vertAlign w:val="superscript"/>
        </w:rPr>
        <w:t>+</w:t>
      </w:r>
      <w:r>
        <w:rPr>
          <w:rFonts w:cs="Calibri"/>
        </w:rPr>
        <w:t xml:space="preserve"> + HCO</w:t>
      </w:r>
      <w:r>
        <w:rPr>
          <w:rFonts w:cs="Calibri"/>
          <w:vertAlign w:val="subscript"/>
        </w:rPr>
        <w:t>3</w:t>
      </w:r>
      <w:r>
        <w:rPr>
          <w:rFonts w:cs="Calibri"/>
          <w:vertAlign w:val="superscript"/>
        </w:rPr>
        <w:t>-</w:t>
      </w:r>
    </w:p>
    <w:p w14:paraId="411FC4A3" w14:textId="77777777" w:rsidR="0021199C" w:rsidRDefault="0021199C" w:rsidP="0021199C">
      <w:pPr>
        <w:pStyle w:val="KeinLeerraum"/>
        <w:numPr>
          <w:ilvl w:val="0"/>
          <w:numId w:val="21"/>
        </w:numPr>
        <w:spacing w:line="360" w:lineRule="auto"/>
      </w:pPr>
      <w:bookmarkStart w:id="4" w:name="_Hlk499840584"/>
      <w:r>
        <w:t>H</w:t>
      </w:r>
      <w:r>
        <w:rPr>
          <w:vertAlign w:val="subscript"/>
        </w:rPr>
        <w:t>2</w:t>
      </w:r>
      <w:r>
        <w:t>CO</w:t>
      </w:r>
      <w:r>
        <w:rPr>
          <w:vertAlign w:val="subscript"/>
        </w:rPr>
        <w:t>3</w:t>
      </w:r>
      <w:r>
        <w:t xml:space="preserve"> + CaCO</w:t>
      </w:r>
      <w:r>
        <w:rPr>
          <w:vertAlign w:val="subscript"/>
        </w:rPr>
        <w:t>3</w:t>
      </w:r>
      <w:r>
        <w:t xml:space="preserve">   </w:t>
      </w:r>
      <w:r>
        <w:rPr>
          <w:rFonts w:ascii="Cambria Math" w:hAnsi="Cambria Math" w:cs="Cambria Math"/>
        </w:rPr>
        <w:t>⇌</w:t>
      </w:r>
      <w:r>
        <w:t xml:space="preserve">   Ca(HCO</w:t>
      </w:r>
      <w:r>
        <w:rPr>
          <w:vertAlign w:val="subscript"/>
        </w:rPr>
        <w:t>3</w:t>
      </w:r>
      <w:r>
        <w:t>)</w:t>
      </w:r>
      <w:r>
        <w:rPr>
          <w:vertAlign w:val="subscript"/>
        </w:rPr>
        <w:t>2</w:t>
      </w:r>
    </w:p>
    <w:bookmarkEnd w:id="4"/>
    <w:p w14:paraId="7AC76B64" w14:textId="77777777" w:rsidR="0021199C" w:rsidRDefault="0021199C" w:rsidP="0021199C">
      <w:pPr>
        <w:pStyle w:val="KeinLeerraum"/>
        <w:numPr>
          <w:ilvl w:val="0"/>
          <w:numId w:val="21"/>
        </w:numPr>
        <w:spacing w:line="360" w:lineRule="auto"/>
      </w:pPr>
      <w:r>
        <w:t>Ca(HCO</w:t>
      </w:r>
      <w:r>
        <w:rPr>
          <w:vertAlign w:val="subscript"/>
        </w:rPr>
        <w:t>3</w:t>
      </w:r>
      <w:r>
        <w:t>)</w:t>
      </w:r>
      <w:r>
        <w:rPr>
          <w:vertAlign w:val="subscript"/>
        </w:rPr>
        <w:t>2</w:t>
      </w:r>
      <w:r>
        <w:t xml:space="preserve">   </w:t>
      </w:r>
      <w:r>
        <w:rPr>
          <w:rFonts w:ascii="Cambria Math" w:hAnsi="Cambria Math" w:cs="Cambria Math"/>
        </w:rPr>
        <w:t xml:space="preserve">⇌    </w:t>
      </w:r>
      <w:r>
        <w:t>Ca</w:t>
      </w:r>
      <w:r>
        <w:rPr>
          <w:vertAlign w:val="superscript"/>
        </w:rPr>
        <w:t>2+</w:t>
      </w:r>
      <w:r>
        <w:t xml:space="preserve">   +   2 HCO</w:t>
      </w:r>
      <w:r>
        <w:rPr>
          <w:vertAlign w:val="subscript"/>
        </w:rPr>
        <w:t>3</w:t>
      </w:r>
      <w:r>
        <w:rPr>
          <w:vertAlign w:val="superscript"/>
        </w:rPr>
        <w:t>-</w:t>
      </w:r>
      <w:r>
        <w:t xml:space="preserve">     (gut löslich)</w:t>
      </w:r>
    </w:p>
    <w:p w14:paraId="0E9C561F" w14:textId="03FE6A0C" w:rsidR="0021199C" w:rsidRPr="000410E7" w:rsidRDefault="0021199C" w:rsidP="008F141E">
      <w:pPr>
        <w:spacing w:line="240" w:lineRule="auto"/>
        <w:jc w:val="both"/>
        <w:rPr>
          <w:b/>
          <w:bCs/>
        </w:rPr>
      </w:pPr>
    </w:p>
    <w:p w14:paraId="5236F5B2" w14:textId="4FE853A9" w:rsidR="00524AB0" w:rsidRPr="009F74CA" w:rsidRDefault="00B554BB" w:rsidP="008F141E">
      <w:pPr>
        <w:spacing w:line="240" w:lineRule="auto"/>
        <w:jc w:val="both"/>
      </w:pPr>
      <w:r>
        <w:t xml:space="preserve">Ein so genannter </w:t>
      </w:r>
      <w:r w:rsidR="009F74CA" w:rsidRPr="009F74CA">
        <w:t>Teilfertigkeitstest</w:t>
      </w:r>
      <w:r w:rsidR="009F74CA">
        <w:t xml:space="preserve"> mit Tilgungen </w:t>
      </w:r>
      <w:r>
        <w:t>der Fachbegriffe</w:t>
      </w:r>
      <w:r>
        <w:rPr>
          <w:rStyle w:val="Funotenzeichen"/>
        </w:rPr>
        <w:footnoteReference w:id="10"/>
      </w:r>
      <w:r>
        <w:t xml:space="preserve"> </w:t>
      </w:r>
      <w:r w:rsidR="009F74CA">
        <w:t>zum Üben des Fachwortschatzes k</w:t>
      </w:r>
      <w:r>
        <w:t>ann</w:t>
      </w:r>
      <w:r w:rsidR="009F74CA">
        <w:t xml:space="preserve"> in Ausnahmefällen</w:t>
      </w:r>
      <w:r w:rsidR="00E07750">
        <w:t xml:space="preserve">, z.B. bei Lernenden mit Deutsch als Zweitsprache, </w:t>
      </w:r>
      <w:r w:rsidR="009F74CA">
        <w:t>sicher auch angewendet werden, erschein</w:t>
      </w:r>
      <w:r w:rsidR="00C47EE2">
        <w:t>t</w:t>
      </w:r>
      <w:r w:rsidR="009F74CA">
        <w:t xml:space="preserve"> aber</w:t>
      </w:r>
      <w:r w:rsidR="00E07750">
        <w:t xml:space="preserve"> für den Regelunterricht in der Sekundarstufe II nicht angebracht.</w:t>
      </w:r>
    </w:p>
    <w:p w14:paraId="12369D29" w14:textId="2ED93105" w:rsidR="0021199C" w:rsidRDefault="00D97D02" w:rsidP="008F141E">
      <w:pPr>
        <w:spacing w:line="240" w:lineRule="auto"/>
        <w:jc w:val="both"/>
      </w:pPr>
      <w:r>
        <w:t xml:space="preserve">Das langfristige Ziel muss es </w:t>
      </w:r>
      <w:r w:rsidR="00B554BB">
        <w:t xml:space="preserve">allerdings </w:t>
      </w:r>
      <w:r>
        <w:t>sein, diese Hilfen mit Blick auf das Abitur und die Studierfähigkeit irgendwann wieder zu entfernen.</w:t>
      </w:r>
    </w:p>
    <w:p w14:paraId="3283EF6D" w14:textId="50514FF2" w:rsidR="008F141E" w:rsidRPr="008F141E" w:rsidRDefault="008F141E" w:rsidP="008F141E">
      <w:pPr>
        <w:spacing w:line="240" w:lineRule="auto"/>
        <w:jc w:val="both"/>
        <w:rPr>
          <w:b/>
          <w:bCs/>
          <w:sz w:val="28"/>
          <w:szCs w:val="28"/>
        </w:rPr>
      </w:pPr>
      <w:r w:rsidRPr="008F141E">
        <w:rPr>
          <w:b/>
          <w:bCs/>
          <w:sz w:val="28"/>
          <w:szCs w:val="28"/>
        </w:rPr>
        <w:t>Alternative</w:t>
      </w:r>
      <w:r w:rsidR="00A75E72">
        <w:rPr>
          <w:b/>
          <w:bCs/>
          <w:sz w:val="28"/>
          <w:szCs w:val="28"/>
        </w:rPr>
        <w:t xml:space="preserve"> Übungsmöglichkeit</w:t>
      </w:r>
      <w:r w:rsidRPr="008F141E">
        <w:rPr>
          <w:b/>
          <w:bCs/>
          <w:sz w:val="28"/>
          <w:szCs w:val="28"/>
        </w:rPr>
        <w:t>: Multiple-Choice-Abfrage</w:t>
      </w:r>
    </w:p>
    <w:p w14:paraId="3D19C9E8" w14:textId="3325417A" w:rsidR="008F141E" w:rsidRDefault="008F141E" w:rsidP="00554FD1">
      <w:pPr>
        <w:spacing w:line="22" w:lineRule="atLeast"/>
        <w:jc w:val="both"/>
      </w:pPr>
      <w:r>
        <w:t xml:space="preserve">Für die (Übungs-)Aufgabe zum chemischen Gleichgewicht auf dem Planetensystem Kalkulon bietet sich alternativ auch eine </w:t>
      </w:r>
      <w:r>
        <w:rPr>
          <w:b/>
        </w:rPr>
        <w:t>Multiple-Choice-Abfrage</w:t>
      </w:r>
      <w:r>
        <w:t xml:space="preserve"> an (Internetversion unter </w:t>
      </w:r>
      <w:r w:rsidRPr="00554FD1">
        <w:t>www.lncu.de</w:t>
      </w:r>
      <w:r>
        <w:t>):</w:t>
      </w:r>
    </w:p>
    <w:p w14:paraId="1AA3D5DC" w14:textId="01764BFD" w:rsidR="008F141E" w:rsidRPr="00554FD1" w:rsidRDefault="008F141E" w:rsidP="00554FD1">
      <w:pPr>
        <w:pStyle w:val="Listenabsatz"/>
        <w:numPr>
          <w:ilvl w:val="3"/>
          <w:numId w:val="21"/>
        </w:numPr>
        <w:spacing w:after="120" w:line="22" w:lineRule="atLeast"/>
        <w:ind w:left="426" w:hanging="284"/>
        <w:contextualSpacing w:val="0"/>
        <w:rPr>
          <w:iCs/>
        </w:rPr>
      </w:pPr>
      <w:bookmarkStart w:id="5" w:name="_Hlk499840837"/>
      <w:r w:rsidRPr="00554FD1">
        <w:rPr>
          <w:iCs/>
        </w:rPr>
        <w:t xml:space="preserve">Aus den gegebenen Informationen lässt sich folgender Sachverhalt ableiten: Für </w:t>
      </w:r>
      <w:r w:rsidRPr="00554FD1">
        <w:rPr>
          <w:b/>
          <w:iCs/>
        </w:rPr>
        <w:t>Kalkulon I</w:t>
      </w:r>
      <w:r w:rsidRPr="00554FD1">
        <w:rPr>
          <w:iCs/>
        </w:rPr>
        <w:t xml:space="preserve"> gilt die Häufigkeit und Größe der gebildeten Kalksteinhöhlen (Dolinen) nimmt zu, weil…</w:t>
      </w:r>
    </w:p>
    <w:p w14:paraId="1A501E9C" w14:textId="68AD0CC7" w:rsidR="008F141E" w:rsidRPr="00554FD1" w:rsidRDefault="008F141E" w:rsidP="00554FD1">
      <w:pPr>
        <w:pStyle w:val="Listenabsatz"/>
        <w:numPr>
          <w:ilvl w:val="0"/>
          <w:numId w:val="27"/>
        </w:numPr>
        <w:spacing w:after="120" w:line="22" w:lineRule="atLeast"/>
        <w:ind w:left="714" w:hanging="357"/>
        <w:contextualSpacing w:val="0"/>
        <w:rPr>
          <w:color w:val="4472C4" w:themeColor="accent1"/>
        </w:rPr>
      </w:pPr>
      <w:bookmarkStart w:id="6" w:name="_Hlk499840482"/>
      <w:bookmarkEnd w:id="5"/>
      <w:r w:rsidRPr="00554FD1">
        <w:rPr>
          <w:color w:val="4472C4" w:themeColor="accent1"/>
        </w:rPr>
        <w:t>das Gleichgewicht der chemischen Reaktion   CO</w:t>
      </w:r>
      <w:r w:rsidRPr="00554FD1">
        <w:rPr>
          <w:color w:val="4472C4" w:themeColor="accent1"/>
          <w:vertAlign w:val="subscript"/>
        </w:rPr>
        <w:t>2</w:t>
      </w:r>
      <w:r w:rsidRPr="00554FD1">
        <w:rPr>
          <w:color w:val="4472C4" w:themeColor="accent1"/>
        </w:rPr>
        <w:t xml:space="preserve"> + H</w:t>
      </w:r>
      <w:r w:rsidRPr="00554FD1">
        <w:rPr>
          <w:color w:val="4472C4" w:themeColor="accent1"/>
          <w:vertAlign w:val="subscript"/>
        </w:rPr>
        <w:t>2</w:t>
      </w:r>
      <w:r w:rsidRPr="00554FD1">
        <w:rPr>
          <w:color w:val="4472C4" w:themeColor="accent1"/>
        </w:rPr>
        <w:t xml:space="preserve">O   </w:t>
      </w:r>
      <w:r w:rsidRPr="00554FD1">
        <w:rPr>
          <w:rFonts w:ascii="Cambria Math" w:hAnsi="Cambria Math" w:cs="Cambria Math"/>
          <w:color w:val="4472C4" w:themeColor="accent1"/>
        </w:rPr>
        <w:t>⇌</w:t>
      </w:r>
      <w:r w:rsidRPr="00554FD1">
        <w:rPr>
          <w:color w:val="4472C4" w:themeColor="accent1"/>
        </w:rPr>
        <w:t xml:space="preserve">   H</w:t>
      </w:r>
      <w:r w:rsidRPr="00554FD1">
        <w:rPr>
          <w:color w:val="4472C4" w:themeColor="accent1"/>
          <w:vertAlign w:val="subscript"/>
        </w:rPr>
        <w:t>2</w:t>
      </w:r>
      <w:r w:rsidRPr="00554FD1">
        <w:rPr>
          <w:color w:val="4472C4" w:themeColor="accent1"/>
        </w:rPr>
        <w:t>CO</w:t>
      </w:r>
      <w:r w:rsidRPr="00554FD1">
        <w:rPr>
          <w:color w:val="4472C4" w:themeColor="accent1"/>
          <w:vertAlign w:val="subscript"/>
        </w:rPr>
        <w:t xml:space="preserve">3   </w:t>
      </w:r>
      <w:r w:rsidRPr="00554FD1">
        <w:rPr>
          <w:color w:val="4472C4" w:themeColor="accent1"/>
        </w:rPr>
        <w:t>auf die rechte Seite verschoben wird.</w:t>
      </w:r>
      <w:bookmarkEnd w:id="6"/>
      <w:r w:rsidR="00554FD1" w:rsidRPr="00554FD1">
        <w:rPr>
          <w:color w:val="4472C4" w:themeColor="accent1"/>
        </w:rPr>
        <w:t xml:space="preserve"> </w:t>
      </w:r>
      <w:r w:rsidRPr="00554FD1">
        <w:rPr>
          <w:b/>
          <w:i/>
          <w:color w:val="4472C4" w:themeColor="accent1"/>
        </w:rPr>
        <w:t>(richtig)</w:t>
      </w:r>
    </w:p>
    <w:p w14:paraId="0EB2F74E" w14:textId="3E375120" w:rsidR="008F141E" w:rsidRPr="00554FD1" w:rsidRDefault="008F141E" w:rsidP="00554FD1">
      <w:pPr>
        <w:pStyle w:val="Listenabsatz"/>
        <w:numPr>
          <w:ilvl w:val="0"/>
          <w:numId w:val="27"/>
        </w:numPr>
        <w:spacing w:after="120" w:line="22" w:lineRule="atLeast"/>
        <w:ind w:left="714" w:hanging="357"/>
        <w:contextualSpacing w:val="0"/>
        <w:rPr>
          <w:color w:val="4472C4" w:themeColor="accent1"/>
        </w:rPr>
      </w:pPr>
      <w:r w:rsidRPr="00554FD1">
        <w:rPr>
          <w:color w:val="4472C4" w:themeColor="accent1"/>
        </w:rPr>
        <w:t>das Gleichgewicht der chemischen Reaktion   CO</w:t>
      </w:r>
      <w:r w:rsidRPr="00554FD1">
        <w:rPr>
          <w:color w:val="4472C4" w:themeColor="accent1"/>
          <w:vertAlign w:val="subscript"/>
        </w:rPr>
        <w:t>2</w:t>
      </w:r>
      <w:r w:rsidRPr="00554FD1">
        <w:rPr>
          <w:color w:val="4472C4" w:themeColor="accent1"/>
        </w:rPr>
        <w:t xml:space="preserve"> + H</w:t>
      </w:r>
      <w:r w:rsidRPr="00554FD1">
        <w:rPr>
          <w:color w:val="4472C4" w:themeColor="accent1"/>
          <w:vertAlign w:val="subscript"/>
        </w:rPr>
        <w:t>2</w:t>
      </w:r>
      <w:r w:rsidRPr="00554FD1">
        <w:rPr>
          <w:color w:val="4472C4" w:themeColor="accent1"/>
        </w:rPr>
        <w:t xml:space="preserve">O   </w:t>
      </w:r>
      <w:r w:rsidRPr="00554FD1">
        <w:rPr>
          <w:rFonts w:ascii="Cambria Math" w:hAnsi="Cambria Math" w:cs="Cambria Math"/>
          <w:color w:val="4472C4" w:themeColor="accent1"/>
        </w:rPr>
        <w:t>⇌</w:t>
      </w:r>
      <w:r w:rsidRPr="00554FD1">
        <w:rPr>
          <w:color w:val="4472C4" w:themeColor="accent1"/>
        </w:rPr>
        <w:t xml:space="preserve">   H</w:t>
      </w:r>
      <w:r w:rsidRPr="00554FD1">
        <w:rPr>
          <w:color w:val="4472C4" w:themeColor="accent1"/>
          <w:vertAlign w:val="subscript"/>
        </w:rPr>
        <w:t>2</w:t>
      </w:r>
      <w:r w:rsidRPr="00554FD1">
        <w:rPr>
          <w:color w:val="4472C4" w:themeColor="accent1"/>
        </w:rPr>
        <w:t>CO</w:t>
      </w:r>
      <w:r w:rsidRPr="00554FD1">
        <w:rPr>
          <w:color w:val="4472C4" w:themeColor="accent1"/>
          <w:vertAlign w:val="subscript"/>
        </w:rPr>
        <w:t xml:space="preserve">3   </w:t>
      </w:r>
      <w:r w:rsidRPr="00554FD1">
        <w:rPr>
          <w:color w:val="4472C4" w:themeColor="accent1"/>
        </w:rPr>
        <w:t>auf die linke Seite verschoben wird.</w:t>
      </w:r>
    </w:p>
    <w:p w14:paraId="515900D2" w14:textId="2CF51988" w:rsidR="008F141E" w:rsidRPr="00554FD1" w:rsidRDefault="008F141E" w:rsidP="00554FD1">
      <w:pPr>
        <w:pStyle w:val="Listenabsatz"/>
        <w:numPr>
          <w:ilvl w:val="0"/>
          <w:numId w:val="27"/>
        </w:numPr>
        <w:spacing w:after="120" w:line="22" w:lineRule="atLeast"/>
        <w:ind w:left="714" w:hanging="357"/>
        <w:contextualSpacing w:val="0"/>
        <w:rPr>
          <w:b/>
          <w:i/>
          <w:color w:val="4472C4" w:themeColor="accent1"/>
        </w:rPr>
      </w:pPr>
      <w:r w:rsidRPr="00554FD1">
        <w:rPr>
          <w:color w:val="4472C4" w:themeColor="accent1"/>
        </w:rPr>
        <w:t>Das Gleichgewicht der chemischen Reaktion   H</w:t>
      </w:r>
      <w:r w:rsidRPr="00554FD1">
        <w:rPr>
          <w:color w:val="4472C4" w:themeColor="accent1"/>
          <w:vertAlign w:val="subscript"/>
        </w:rPr>
        <w:t>2</w:t>
      </w:r>
      <w:r w:rsidRPr="00554FD1">
        <w:rPr>
          <w:color w:val="4472C4" w:themeColor="accent1"/>
        </w:rPr>
        <w:t>CO</w:t>
      </w:r>
      <w:r w:rsidRPr="00554FD1">
        <w:rPr>
          <w:color w:val="4472C4" w:themeColor="accent1"/>
          <w:vertAlign w:val="subscript"/>
        </w:rPr>
        <w:t>3</w:t>
      </w:r>
      <w:r w:rsidRPr="00554FD1">
        <w:rPr>
          <w:color w:val="4472C4" w:themeColor="accent1"/>
        </w:rPr>
        <w:t xml:space="preserve"> + </w:t>
      </w:r>
      <w:bookmarkStart w:id="7" w:name="_Hlk499840731"/>
      <w:r w:rsidRPr="00554FD1">
        <w:rPr>
          <w:color w:val="4472C4" w:themeColor="accent1"/>
        </w:rPr>
        <w:t>CaCO</w:t>
      </w:r>
      <w:r w:rsidRPr="00554FD1">
        <w:rPr>
          <w:color w:val="4472C4" w:themeColor="accent1"/>
          <w:vertAlign w:val="subscript"/>
        </w:rPr>
        <w:t>3</w:t>
      </w:r>
      <w:bookmarkEnd w:id="7"/>
      <w:r w:rsidRPr="00554FD1">
        <w:rPr>
          <w:color w:val="4472C4" w:themeColor="accent1"/>
        </w:rPr>
        <w:t xml:space="preserve">   </w:t>
      </w:r>
      <w:r w:rsidRPr="00554FD1">
        <w:rPr>
          <w:rFonts w:ascii="Cambria Math" w:hAnsi="Cambria Math" w:cs="Cambria Math"/>
          <w:color w:val="4472C4" w:themeColor="accent1"/>
        </w:rPr>
        <w:t>⇌</w:t>
      </w:r>
      <w:r w:rsidRPr="00554FD1">
        <w:rPr>
          <w:color w:val="4472C4" w:themeColor="accent1"/>
        </w:rPr>
        <w:t xml:space="preserve">   Ca(HCO</w:t>
      </w:r>
      <w:r w:rsidRPr="00554FD1">
        <w:rPr>
          <w:color w:val="4472C4" w:themeColor="accent1"/>
          <w:vertAlign w:val="subscript"/>
        </w:rPr>
        <w:t>3</w:t>
      </w:r>
      <w:r w:rsidRPr="00554FD1">
        <w:rPr>
          <w:color w:val="4472C4" w:themeColor="accent1"/>
        </w:rPr>
        <w:t>)</w:t>
      </w:r>
      <w:r w:rsidRPr="00554FD1">
        <w:rPr>
          <w:color w:val="4472C4" w:themeColor="accent1"/>
          <w:vertAlign w:val="subscript"/>
        </w:rPr>
        <w:t xml:space="preserve">2   </w:t>
      </w:r>
      <w:r w:rsidRPr="00554FD1">
        <w:rPr>
          <w:color w:val="4472C4" w:themeColor="accent1"/>
        </w:rPr>
        <w:t xml:space="preserve">auf die rechte Seite verschoben wird. </w:t>
      </w:r>
      <w:r w:rsidRPr="00554FD1">
        <w:rPr>
          <w:b/>
          <w:i/>
          <w:color w:val="4472C4" w:themeColor="accent1"/>
        </w:rPr>
        <w:t>(richtig)</w:t>
      </w:r>
    </w:p>
    <w:p w14:paraId="04EF4ADE" w14:textId="7DBCDC36" w:rsidR="008F141E" w:rsidRPr="00554FD1" w:rsidRDefault="008F141E" w:rsidP="00554FD1">
      <w:pPr>
        <w:pStyle w:val="Listenabsatz"/>
        <w:numPr>
          <w:ilvl w:val="0"/>
          <w:numId w:val="27"/>
        </w:numPr>
        <w:spacing w:after="120" w:line="22" w:lineRule="atLeast"/>
        <w:ind w:left="714" w:hanging="357"/>
        <w:contextualSpacing w:val="0"/>
        <w:rPr>
          <w:color w:val="4472C4" w:themeColor="accent1"/>
        </w:rPr>
      </w:pPr>
      <w:r w:rsidRPr="00554FD1">
        <w:rPr>
          <w:color w:val="4472C4" w:themeColor="accent1"/>
        </w:rPr>
        <w:t>die Löslichkeit von Kalkstein (CaCO</w:t>
      </w:r>
      <w:r w:rsidRPr="00554FD1">
        <w:rPr>
          <w:color w:val="4472C4" w:themeColor="accent1"/>
          <w:vertAlign w:val="subscript"/>
        </w:rPr>
        <w:t>3</w:t>
      </w:r>
      <w:r w:rsidRPr="00554FD1">
        <w:rPr>
          <w:color w:val="4472C4" w:themeColor="accent1"/>
        </w:rPr>
        <w:t>)</w:t>
      </w:r>
      <w:r w:rsidRPr="00554FD1">
        <w:rPr>
          <w:color w:val="4472C4" w:themeColor="accent1"/>
          <w:vertAlign w:val="subscript"/>
        </w:rPr>
        <w:t xml:space="preserve"> </w:t>
      </w:r>
      <w:r w:rsidRPr="00554FD1">
        <w:rPr>
          <w:color w:val="4472C4" w:themeColor="accent1"/>
        </w:rPr>
        <w:t>in Wasser durch den höheren Druck erhöht wird.</w:t>
      </w:r>
    </w:p>
    <w:p w14:paraId="158F0396" w14:textId="0D299209" w:rsidR="008F141E" w:rsidRDefault="008F141E" w:rsidP="00554FD1">
      <w:pPr>
        <w:spacing w:line="22" w:lineRule="atLeast"/>
        <w:jc w:val="both"/>
      </w:pPr>
    </w:p>
    <w:p w14:paraId="33E5810E" w14:textId="2FCF2315" w:rsidR="008F141E" w:rsidRPr="00554FD1" w:rsidRDefault="008F141E" w:rsidP="00554FD1">
      <w:pPr>
        <w:pStyle w:val="Listenabsatz"/>
        <w:numPr>
          <w:ilvl w:val="3"/>
          <w:numId w:val="21"/>
        </w:numPr>
        <w:spacing w:after="120" w:line="22" w:lineRule="atLeast"/>
        <w:ind w:left="426" w:hanging="284"/>
        <w:contextualSpacing w:val="0"/>
        <w:rPr>
          <w:iCs/>
        </w:rPr>
      </w:pPr>
      <w:r w:rsidRPr="00554FD1">
        <w:rPr>
          <w:iCs/>
        </w:rPr>
        <w:t xml:space="preserve">Aus den gegebenen Informationen lässt sich folgender Sachverhalt ableiten: Für </w:t>
      </w:r>
      <w:r w:rsidRPr="00554FD1">
        <w:rPr>
          <w:b/>
          <w:iCs/>
        </w:rPr>
        <w:t>Kalkulon II</w:t>
      </w:r>
      <w:r w:rsidRPr="00554FD1">
        <w:rPr>
          <w:iCs/>
        </w:rPr>
        <w:t xml:space="preserve"> gilt die Häufigkeit und Größe der gebildeten Kalksteinhöhlen (Dolinen)…</w:t>
      </w:r>
    </w:p>
    <w:p w14:paraId="0694C451" w14:textId="2BF07773" w:rsidR="008F141E" w:rsidRPr="00554FD1" w:rsidRDefault="008F141E" w:rsidP="00554FD1">
      <w:pPr>
        <w:pStyle w:val="Listenabsatz"/>
        <w:numPr>
          <w:ilvl w:val="0"/>
          <w:numId w:val="28"/>
        </w:numPr>
        <w:spacing w:after="120" w:line="22" w:lineRule="atLeast"/>
        <w:ind w:left="714" w:hanging="357"/>
        <w:contextualSpacing w:val="0"/>
        <w:rPr>
          <w:color w:val="4472C4" w:themeColor="accent1"/>
        </w:rPr>
      </w:pPr>
      <w:r w:rsidRPr="00554FD1">
        <w:rPr>
          <w:color w:val="4472C4" w:themeColor="accent1"/>
        </w:rPr>
        <w:t xml:space="preserve">nimmt zu, weil </w:t>
      </w:r>
      <w:bookmarkStart w:id="8" w:name="_Hlk499841062"/>
      <w:r w:rsidRPr="00554FD1">
        <w:rPr>
          <w:color w:val="4472C4" w:themeColor="accent1"/>
        </w:rPr>
        <w:t>mit steigender Temperatur die Löslichkeit von CO</w:t>
      </w:r>
      <w:r w:rsidRPr="00554FD1">
        <w:rPr>
          <w:color w:val="4472C4" w:themeColor="accent1"/>
          <w:vertAlign w:val="subscript"/>
        </w:rPr>
        <w:t>2</w:t>
      </w:r>
      <w:r w:rsidRPr="00554FD1">
        <w:rPr>
          <w:color w:val="4472C4" w:themeColor="accent1"/>
        </w:rPr>
        <w:t xml:space="preserve"> in Wasser zunimmt.</w:t>
      </w:r>
      <w:bookmarkEnd w:id="8"/>
    </w:p>
    <w:p w14:paraId="143BFCD1" w14:textId="3BA4FCE9" w:rsidR="008F141E" w:rsidRPr="00554FD1" w:rsidRDefault="008F141E" w:rsidP="00554FD1">
      <w:pPr>
        <w:pStyle w:val="Listenabsatz"/>
        <w:numPr>
          <w:ilvl w:val="0"/>
          <w:numId w:val="28"/>
        </w:numPr>
        <w:spacing w:after="120" w:line="22" w:lineRule="atLeast"/>
        <w:ind w:left="714" w:hanging="357"/>
        <w:contextualSpacing w:val="0"/>
        <w:rPr>
          <w:color w:val="4472C4" w:themeColor="accent1"/>
        </w:rPr>
      </w:pPr>
      <w:r w:rsidRPr="00554FD1">
        <w:rPr>
          <w:color w:val="4472C4" w:themeColor="accent1"/>
        </w:rPr>
        <w:t>nimmt ab, weil mit steigender Temperatur die Löslichkeit von CO</w:t>
      </w:r>
      <w:r w:rsidRPr="00554FD1">
        <w:rPr>
          <w:color w:val="4472C4" w:themeColor="accent1"/>
          <w:vertAlign w:val="subscript"/>
        </w:rPr>
        <w:t>2</w:t>
      </w:r>
      <w:r w:rsidRPr="00554FD1">
        <w:rPr>
          <w:color w:val="4472C4" w:themeColor="accent1"/>
        </w:rPr>
        <w:t xml:space="preserve"> in Wasser zunimmt.</w:t>
      </w:r>
    </w:p>
    <w:p w14:paraId="5C5EA9E7" w14:textId="362DB8FE" w:rsidR="008F141E" w:rsidRPr="00554FD1" w:rsidRDefault="008F141E" w:rsidP="00554FD1">
      <w:pPr>
        <w:pStyle w:val="Listenabsatz"/>
        <w:numPr>
          <w:ilvl w:val="0"/>
          <w:numId w:val="28"/>
        </w:numPr>
        <w:spacing w:after="120" w:line="22" w:lineRule="atLeast"/>
        <w:ind w:left="714" w:hanging="357"/>
        <w:contextualSpacing w:val="0"/>
        <w:rPr>
          <w:color w:val="4472C4" w:themeColor="accent1"/>
        </w:rPr>
      </w:pPr>
      <w:r w:rsidRPr="00554FD1">
        <w:rPr>
          <w:color w:val="4472C4" w:themeColor="accent1"/>
        </w:rPr>
        <w:t>nimmt zu, weil mit steigender Temperatur die Löslichkeit von CO</w:t>
      </w:r>
      <w:r w:rsidRPr="00554FD1">
        <w:rPr>
          <w:color w:val="4472C4" w:themeColor="accent1"/>
          <w:vertAlign w:val="subscript"/>
        </w:rPr>
        <w:t>2</w:t>
      </w:r>
      <w:r w:rsidRPr="00554FD1">
        <w:rPr>
          <w:color w:val="4472C4" w:themeColor="accent1"/>
        </w:rPr>
        <w:t xml:space="preserve"> in Wasser abnimmt.</w:t>
      </w:r>
    </w:p>
    <w:p w14:paraId="36A8E3CD" w14:textId="1AE7A84B" w:rsidR="008F141E" w:rsidRPr="00554FD1" w:rsidRDefault="008F141E" w:rsidP="00554FD1">
      <w:pPr>
        <w:pStyle w:val="Listenabsatz"/>
        <w:numPr>
          <w:ilvl w:val="0"/>
          <w:numId w:val="28"/>
        </w:numPr>
        <w:spacing w:after="120" w:line="22" w:lineRule="atLeast"/>
        <w:ind w:left="714" w:hanging="357"/>
        <w:contextualSpacing w:val="0"/>
        <w:rPr>
          <w:color w:val="4472C4" w:themeColor="accent1"/>
        </w:rPr>
      </w:pPr>
      <w:r w:rsidRPr="00554FD1">
        <w:rPr>
          <w:color w:val="4472C4" w:themeColor="accent1"/>
        </w:rPr>
        <w:t>nimmt ab, weil mit steigender Temperatur die Löslichkeit von CO</w:t>
      </w:r>
      <w:r w:rsidRPr="00554FD1">
        <w:rPr>
          <w:color w:val="4472C4" w:themeColor="accent1"/>
          <w:vertAlign w:val="subscript"/>
        </w:rPr>
        <w:t>2</w:t>
      </w:r>
      <w:r w:rsidRPr="00554FD1">
        <w:rPr>
          <w:color w:val="4472C4" w:themeColor="accent1"/>
        </w:rPr>
        <w:t xml:space="preserve"> in Wasser abnimmt. </w:t>
      </w:r>
      <w:r w:rsidRPr="00554FD1">
        <w:rPr>
          <w:b/>
          <w:i/>
          <w:color w:val="4472C4" w:themeColor="accent1"/>
        </w:rPr>
        <w:t>(richtig)</w:t>
      </w:r>
    </w:p>
    <w:p w14:paraId="0ED42BBB" w14:textId="77777777" w:rsidR="008F141E" w:rsidRDefault="008F141E" w:rsidP="00554FD1">
      <w:pPr>
        <w:spacing w:line="22" w:lineRule="atLeast"/>
        <w:jc w:val="both"/>
      </w:pPr>
    </w:p>
    <w:p w14:paraId="616F887B" w14:textId="46947C1C" w:rsidR="008F141E" w:rsidRPr="00554FD1" w:rsidRDefault="008F141E" w:rsidP="00554FD1">
      <w:pPr>
        <w:pStyle w:val="Listenabsatz"/>
        <w:numPr>
          <w:ilvl w:val="3"/>
          <w:numId w:val="21"/>
        </w:numPr>
        <w:spacing w:after="120" w:line="22" w:lineRule="atLeast"/>
        <w:ind w:left="426" w:hanging="284"/>
        <w:contextualSpacing w:val="0"/>
        <w:rPr>
          <w:iCs/>
        </w:rPr>
      </w:pPr>
      <w:r w:rsidRPr="00554FD1">
        <w:rPr>
          <w:iCs/>
        </w:rPr>
        <w:t xml:space="preserve">Aus den gegebenen Informationen lässt sich folgender Sachverhalt ableiten: Für </w:t>
      </w:r>
      <w:r w:rsidRPr="00554FD1">
        <w:rPr>
          <w:b/>
          <w:iCs/>
        </w:rPr>
        <w:t>Kalkulon III</w:t>
      </w:r>
      <w:r w:rsidRPr="00554FD1">
        <w:rPr>
          <w:iCs/>
        </w:rPr>
        <w:t xml:space="preserve"> gilt die Häufigkeit und Größe der gebildeten Kalksteinhöhlen (Dolinen)…</w:t>
      </w:r>
    </w:p>
    <w:p w14:paraId="0ED3B15A" w14:textId="6D5FBB6C" w:rsidR="008F141E" w:rsidRPr="00554FD1" w:rsidRDefault="008F141E" w:rsidP="00554FD1">
      <w:pPr>
        <w:pStyle w:val="Listenabsatz"/>
        <w:numPr>
          <w:ilvl w:val="0"/>
          <w:numId w:val="29"/>
        </w:numPr>
        <w:spacing w:after="120" w:line="22" w:lineRule="atLeast"/>
        <w:ind w:left="714" w:hanging="357"/>
        <w:contextualSpacing w:val="0"/>
        <w:rPr>
          <w:color w:val="4472C4" w:themeColor="accent1"/>
        </w:rPr>
      </w:pPr>
      <w:r w:rsidRPr="00554FD1">
        <w:rPr>
          <w:color w:val="4472C4" w:themeColor="accent1"/>
        </w:rPr>
        <w:t>bleibt ungefähr gleich, weil der atmosphärische Druck gleichbleibt.</w:t>
      </w:r>
    </w:p>
    <w:p w14:paraId="6A4774ED" w14:textId="58FF220F" w:rsidR="008F141E" w:rsidRPr="00554FD1" w:rsidRDefault="008F141E" w:rsidP="00554FD1">
      <w:pPr>
        <w:pStyle w:val="Listenabsatz"/>
        <w:numPr>
          <w:ilvl w:val="0"/>
          <w:numId w:val="29"/>
        </w:numPr>
        <w:spacing w:after="120" w:line="22" w:lineRule="atLeast"/>
        <w:ind w:left="714" w:hanging="357"/>
        <w:contextualSpacing w:val="0"/>
        <w:rPr>
          <w:color w:val="4472C4" w:themeColor="accent1"/>
        </w:rPr>
      </w:pPr>
      <w:r w:rsidRPr="00554FD1">
        <w:rPr>
          <w:color w:val="4472C4" w:themeColor="accent1"/>
        </w:rPr>
        <w:t>bleibt ungefähr gleich, weil sich auch die Temperatur gleichbleibt.</w:t>
      </w:r>
    </w:p>
    <w:p w14:paraId="525DA0E2" w14:textId="484848F5" w:rsidR="008F141E" w:rsidRPr="00554FD1" w:rsidRDefault="008F141E" w:rsidP="00554FD1">
      <w:pPr>
        <w:pStyle w:val="Listenabsatz"/>
        <w:numPr>
          <w:ilvl w:val="0"/>
          <w:numId w:val="29"/>
        </w:numPr>
        <w:spacing w:after="120" w:line="22" w:lineRule="atLeast"/>
        <w:ind w:left="714" w:hanging="357"/>
        <w:contextualSpacing w:val="0"/>
        <w:rPr>
          <w:color w:val="4472C4" w:themeColor="accent1"/>
        </w:rPr>
      </w:pPr>
      <w:r w:rsidRPr="00554FD1">
        <w:rPr>
          <w:color w:val="4472C4" w:themeColor="accent1"/>
        </w:rPr>
        <w:t xml:space="preserve">nimmt zu, weil die Konzentration des Kohlendioxids angestiegen ist. </w:t>
      </w:r>
      <w:r w:rsidRPr="00554FD1">
        <w:rPr>
          <w:b/>
          <w:i/>
          <w:color w:val="4472C4" w:themeColor="accent1"/>
        </w:rPr>
        <w:t>(richtig)</w:t>
      </w:r>
    </w:p>
    <w:p w14:paraId="6CF1D072" w14:textId="30654663" w:rsidR="008F141E" w:rsidRPr="00554FD1" w:rsidRDefault="008F141E" w:rsidP="00554FD1">
      <w:pPr>
        <w:pStyle w:val="Listenabsatz"/>
        <w:numPr>
          <w:ilvl w:val="0"/>
          <w:numId w:val="29"/>
        </w:numPr>
        <w:spacing w:after="120" w:line="22" w:lineRule="atLeast"/>
        <w:ind w:left="714" w:hanging="357"/>
        <w:contextualSpacing w:val="0"/>
        <w:rPr>
          <w:color w:val="4472C4" w:themeColor="accent1"/>
        </w:rPr>
      </w:pPr>
      <w:r w:rsidRPr="00554FD1">
        <w:rPr>
          <w:color w:val="4472C4" w:themeColor="accent1"/>
        </w:rPr>
        <w:t>nimmt ab, weil die Konzentration des Kohlendioxids angestiegen ist.</w:t>
      </w:r>
    </w:p>
    <w:p w14:paraId="4CDDEA45" w14:textId="77777777" w:rsidR="00E913E4" w:rsidRPr="001F542F" w:rsidRDefault="00E913E4" w:rsidP="001F542F"/>
    <w:sectPr w:rsidR="00E913E4" w:rsidRPr="001F542F" w:rsidSect="00C22495">
      <w:headerReference w:type="default" r:id="rId8"/>
      <w:footerReference w:type="default" r:id="rId9"/>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DC656" w14:textId="77777777" w:rsidR="001B19D0" w:rsidRDefault="001B19D0" w:rsidP="00091985">
      <w:pPr>
        <w:spacing w:after="0" w:line="240" w:lineRule="auto"/>
      </w:pPr>
      <w:r>
        <w:separator/>
      </w:r>
    </w:p>
  </w:endnote>
  <w:endnote w:type="continuationSeparator" w:id="0">
    <w:p w14:paraId="5AC020A5" w14:textId="77777777" w:rsidR="001B19D0" w:rsidRDefault="001B19D0"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35DA835E" w:rsidR="00091985" w:rsidRDefault="009C50DA">
          <w:pPr>
            <w:pStyle w:val="Fuzeile"/>
          </w:pPr>
          <w:r>
            <w:rPr>
              <w:sz w:val="12"/>
              <w:szCs w:val="12"/>
            </w:rPr>
            <w:t xml:space="preserve">Andy Bindl </w:t>
          </w:r>
          <w:r w:rsidR="00E95FE8" w:rsidRPr="009A4F65">
            <w:rPr>
              <w:sz w:val="12"/>
              <w:szCs w:val="12"/>
            </w:rPr>
            <w:t>im Team LN</w:t>
          </w:r>
          <w:r w:rsidR="00E95FE8">
            <w:rPr>
              <w:sz w:val="12"/>
              <w:szCs w:val="12"/>
            </w:rPr>
            <w:t>CU für Sinus/QUA-LiS NRW, 2019. Alle Materialien</w:t>
          </w:r>
          <w:r w:rsidR="00CA40B3">
            <w:rPr>
              <w:sz w:val="12"/>
              <w:szCs w:val="12"/>
            </w:rPr>
            <w:t xml:space="preserve"> und Abbildungen</w:t>
          </w:r>
          <w:r w:rsidR="00E95FE8">
            <w:rPr>
              <w:sz w:val="12"/>
              <w:szCs w:val="12"/>
            </w:rPr>
            <w:t xml:space="preserve">, sofern nicht anders gekennzeichnet, unter </w:t>
          </w:r>
          <w:r w:rsidR="00E95FE8"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8A759" w14:textId="77777777" w:rsidR="001B19D0" w:rsidRDefault="001B19D0" w:rsidP="00091985">
      <w:pPr>
        <w:spacing w:after="0" w:line="240" w:lineRule="auto"/>
      </w:pPr>
      <w:bookmarkStart w:id="0" w:name="_Hlk28534524"/>
      <w:bookmarkEnd w:id="0"/>
      <w:r>
        <w:separator/>
      </w:r>
    </w:p>
  </w:footnote>
  <w:footnote w:type="continuationSeparator" w:id="0">
    <w:p w14:paraId="6A5B6269" w14:textId="77777777" w:rsidR="001B19D0" w:rsidRDefault="001B19D0" w:rsidP="00091985">
      <w:pPr>
        <w:spacing w:after="0" w:line="240" w:lineRule="auto"/>
      </w:pPr>
      <w:r>
        <w:continuationSeparator/>
      </w:r>
    </w:p>
  </w:footnote>
  <w:footnote w:id="1">
    <w:p w14:paraId="1B029CEA" w14:textId="60A0238F" w:rsidR="008F141E" w:rsidRDefault="008F141E" w:rsidP="008F141E">
      <w:pPr>
        <w:pStyle w:val="Funotentext"/>
      </w:pPr>
      <w:r>
        <w:rPr>
          <w:rStyle w:val="Funotenzeichen"/>
        </w:rPr>
        <w:footnoteRef/>
      </w:r>
      <w:r>
        <w:t xml:space="preserve"> Information</w:t>
      </w:r>
      <w:r w:rsidR="00643AE8">
        <w:t xml:space="preserve"> zur Dolinenbildung vgl. </w:t>
      </w:r>
      <w:hyperlink r:id="rId1" w:history="1">
        <w:r w:rsidR="00643AE8" w:rsidRPr="00844B63">
          <w:rPr>
            <w:rStyle w:val="Hyperlink"/>
          </w:rPr>
          <w:t>https://www.spe</w:t>
        </w:r>
        <w:r w:rsidR="00643AE8" w:rsidRPr="00844B63">
          <w:rPr>
            <w:rStyle w:val="Hyperlink"/>
          </w:rPr>
          <w:t>k</w:t>
        </w:r>
        <w:r w:rsidR="00643AE8" w:rsidRPr="00844B63">
          <w:rPr>
            <w:rStyle w:val="Hyperlink"/>
          </w:rPr>
          <w:t>trum.de/lexikon/geowissenschaften/doline/3398</w:t>
        </w:r>
      </w:hyperlink>
      <w:r w:rsidR="00643AE8">
        <w:t xml:space="preserve"> </w:t>
      </w:r>
      <w:r w:rsidR="00643AE8">
        <w:tab/>
      </w:r>
      <w:r>
        <w:t xml:space="preserve"> </w:t>
      </w:r>
      <w:r w:rsidR="00B30EEB">
        <w:t>[Zugriff:</w:t>
      </w:r>
      <w:r>
        <w:t xml:space="preserve"> </w:t>
      </w:r>
      <w:r w:rsidR="003A4CD0">
        <w:t>26.02.2020</w:t>
      </w:r>
      <w:bookmarkStart w:id="1" w:name="_GoBack"/>
      <w:bookmarkEnd w:id="1"/>
      <w:r w:rsidR="00B30EEB">
        <w:t>]</w:t>
      </w:r>
    </w:p>
    <w:p w14:paraId="4E4A6F22" w14:textId="77777777" w:rsidR="008F141E" w:rsidRDefault="008F141E" w:rsidP="008F141E">
      <w:pPr>
        <w:pStyle w:val="Funotentext"/>
        <w:jc w:val="both"/>
      </w:pPr>
      <w:r>
        <w:t xml:space="preserve">Weitere Informationen und Film (ca. 4 min) als Online-Medienpaket „Karst“ Nummer </w:t>
      </w:r>
      <w:bookmarkStart w:id="2" w:name="_Hlk31026467"/>
      <w:r>
        <w:t>5562238</w:t>
      </w:r>
      <w:bookmarkEnd w:id="2"/>
      <w:r>
        <w:t xml:space="preserve"> von 2015, Filmmenü </w:t>
      </w:r>
      <w:r>
        <w:rPr>
          <w:rFonts w:ascii="Wingdings" w:eastAsia="Wingdings" w:hAnsi="Wingdings" w:cs="Wingdings"/>
        </w:rPr>
        <w:t></w:t>
      </w:r>
      <w:r>
        <w:t xml:space="preserve"> Entstehung und Korrosion von Kalkstein </w:t>
      </w:r>
      <w:r>
        <w:rPr>
          <w:rFonts w:ascii="Wingdings" w:eastAsia="Wingdings" w:hAnsi="Wingdings" w:cs="Wingdings"/>
        </w:rPr>
        <w:t></w:t>
      </w:r>
      <w:r>
        <w:t xml:space="preserve"> Lösung </w:t>
      </w:r>
    </w:p>
    <w:p w14:paraId="1896590D" w14:textId="48BBE916" w:rsidR="008F141E" w:rsidRDefault="008F141E" w:rsidP="008F141E">
      <w:pPr>
        <w:pStyle w:val="Funotentext"/>
        <w:jc w:val="both"/>
      </w:pPr>
      <w:r>
        <w:t xml:space="preserve">Beziehbar </w:t>
      </w:r>
      <w:r w:rsidR="00B62B1F">
        <w:t xml:space="preserve">z.B. </w:t>
      </w:r>
      <w:r>
        <w:t xml:space="preserve">über das Medienzentrum Rhein-Sieg-Kreis </w:t>
      </w:r>
      <w:hyperlink r:id="rId2" w:history="1">
        <w:r>
          <w:rPr>
            <w:rStyle w:val="Hyperlink"/>
          </w:rPr>
          <w:t>http://www.rsk-medienzentrum.de/</w:t>
        </w:r>
      </w:hyperlink>
      <w:r>
        <w:t xml:space="preserve"> </w:t>
      </w:r>
    </w:p>
  </w:footnote>
  <w:footnote w:id="2">
    <w:p w14:paraId="46B73DA7" w14:textId="0F811F89" w:rsidR="00983C22" w:rsidRPr="001164D5" w:rsidRDefault="00983C22" w:rsidP="00983C22">
      <w:pPr>
        <w:pStyle w:val="KeinLeerraum"/>
        <w:rPr>
          <w:sz w:val="18"/>
          <w:szCs w:val="18"/>
        </w:rPr>
      </w:pPr>
      <w:r w:rsidRPr="001164D5">
        <w:rPr>
          <w:rStyle w:val="Funotenzeichen"/>
          <w:sz w:val="18"/>
          <w:szCs w:val="18"/>
        </w:rPr>
        <w:footnoteRef/>
      </w:r>
      <w:r w:rsidRPr="001164D5">
        <w:rPr>
          <w:sz w:val="18"/>
          <w:szCs w:val="18"/>
        </w:rPr>
        <w:t xml:space="preserve"> </w:t>
      </w:r>
      <w:r>
        <w:rPr>
          <w:sz w:val="18"/>
          <w:szCs w:val="18"/>
        </w:rPr>
        <w:t>v</w:t>
      </w:r>
      <w:r w:rsidRPr="001164D5">
        <w:rPr>
          <w:sz w:val="18"/>
          <w:szCs w:val="18"/>
        </w:rPr>
        <w:t>gl. Feilke, Helmuth Bildungssprachliche Kompetenzen - fördern und entwickeln. In: Praxis Deutsch, 39 (2012) 233, S. 4-13</w:t>
      </w:r>
      <w:r>
        <w:rPr>
          <w:sz w:val="18"/>
          <w:szCs w:val="18"/>
        </w:rPr>
        <w:t xml:space="preserve">, Basisartikel abrufbar unter: </w:t>
      </w:r>
      <w:hyperlink r:id="rId3" w:history="1">
        <w:r w:rsidRPr="00165F8C">
          <w:rPr>
            <w:rStyle w:val="Hyperlink"/>
            <w:sz w:val="18"/>
            <w:szCs w:val="18"/>
          </w:rPr>
          <w:t>https://www.uni-giessen.de/fbz/fb05/germanistik/absprache/sprachdidaktik/aufsaetzelinks/pdbabildungssprache</w:t>
        </w:r>
      </w:hyperlink>
      <w:r>
        <w:rPr>
          <w:sz w:val="18"/>
          <w:szCs w:val="18"/>
        </w:rPr>
        <w:t xml:space="preserve">   [Zugriff: 13.12.2019]</w:t>
      </w:r>
    </w:p>
  </w:footnote>
  <w:footnote w:id="3">
    <w:p w14:paraId="7EC50CF3" w14:textId="2D622384" w:rsidR="00983C22" w:rsidRPr="00B8194D" w:rsidRDefault="00983C22" w:rsidP="00983C22">
      <w:pPr>
        <w:pStyle w:val="KeinLeerraum"/>
        <w:rPr>
          <w:sz w:val="18"/>
          <w:szCs w:val="18"/>
        </w:rPr>
      </w:pPr>
      <w:r w:rsidRPr="001164D5">
        <w:rPr>
          <w:rStyle w:val="Funotenzeichen"/>
          <w:sz w:val="18"/>
          <w:szCs w:val="18"/>
        </w:rPr>
        <w:footnoteRef/>
      </w:r>
      <w:r w:rsidRPr="001164D5">
        <w:rPr>
          <w:sz w:val="18"/>
          <w:szCs w:val="18"/>
        </w:rPr>
        <w:t xml:space="preserve"> Konnektoren</w:t>
      </w:r>
      <w:r>
        <w:rPr>
          <w:sz w:val="18"/>
          <w:szCs w:val="18"/>
        </w:rPr>
        <w:t xml:space="preserve"> sind Wörter oder Ausdrücke, die Teile eines Textes logisch miteinander verbinden. Sie können aus verschiedenen Wortarten bestehen. Die häufigsten Konnektoren sind Konjunktionen, Subjunktionen und Verbindungsadverbien. Hier: </w:t>
      </w:r>
      <w:r w:rsidRPr="009C5CC5">
        <w:rPr>
          <w:b/>
          <w:bCs/>
          <w:sz w:val="18"/>
          <w:szCs w:val="18"/>
        </w:rPr>
        <w:t>a</w:t>
      </w:r>
      <w:r>
        <w:rPr>
          <w:sz w:val="18"/>
          <w:szCs w:val="18"/>
        </w:rPr>
        <w:t>ber,</w:t>
      </w:r>
      <w:r w:rsidR="009C5CC5">
        <w:rPr>
          <w:sz w:val="18"/>
          <w:szCs w:val="18"/>
        </w:rPr>
        <w:t xml:space="preserve"> </w:t>
      </w:r>
      <w:r w:rsidRPr="009C5CC5">
        <w:rPr>
          <w:b/>
          <w:bCs/>
          <w:sz w:val="18"/>
          <w:szCs w:val="18"/>
        </w:rPr>
        <w:t>d</w:t>
      </w:r>
      <w:r>
        <w:rPr>
          <w:sz w:val="18"/>
          <w:szCs w:val="18"/>
        </w:rPr>
        <w:t xml:space="preserve">enn, </w:t>
      </w:r>
      <w:r w:rsidRPr="009C5CC5">
        <w:rPr>
          <w:b/>
          <w:bCs/>
          <w:sz w:val="18"/>
          <w:szCs w:val="18"/>
        </w:rPr>
        <w:t>u</w:t>
      </w:r>
      <w:r>
        <w:rPr>
          <w:sz w:val="18"/>
          <w:szCs w:val="18"/>
        </w:rPr>
        <w:t xml:space="preserve">nd, </w:t>
      </w:r>
      <w:r w:rsidRPr="009C5CC5">
        <w:rPr>
          <w:b/>
          <w:bCs/>
          <w:sz w:val="18"/>
          <w:szCs w:val="18"/>
        </w:rPr>
        <w:t>s</w:t>
      </w:r>
      <w:r>
        <w:rPr>
          <w:sz w:val="18"/>
          <w:szCs w:val="18"/>
        </w:rPr>
        <w:t xml:space="preserve">ondern, </w:t>
      </w:r>
      <w:r w:rsidRPr="009C5CC5">
        <w:rPr>
          <w:b/>
          <w:bCs/>
          <w:sz w:val="18"/>
          <w:szCs w:val="18"/>
        </w:rPr>
        <w:t>o</w:t>
      </w:r>
      <w:r>
        <w:rPr>
          <w:sz w:val="18"/>
          <w:szCs w:val="18"/>
        </w:rPr>
        <w:t>der</w:t>
      </w:r>
    </w:p>
  </w:footnote>
  <w:footnote w:id="4">
    <w:p w14:paraId="3BCF586F" w14:textId="579D8359" w:rsidR="0074500C" w:rsidRDefault="0074500C">
      <w:pPr>
        <w:pStyle w:val="Funotentext"/>
      </w:pPr>
      <w:r>
        <w:rPr>
          <w:rStyle w:val="Funotenzeichen"/>
        </w:rPr>
        <w:footnoteRef/>
      </w:r>
      <w:r>
        <w:t xml:space="preserve"> vgl. </w:t>
      </w:r>
      <w:hyperlink r:id="rId4" w:history="1">
        <w:r w:rsidRPr="00C70E4C">
          <w:rPr>
            <w:rStyle w:val="Hyperlink"/>
            <w:sz w:val="18"/>
            <w:szCs w:val="18"/>
          </w:rPr>
          <w:t>https://www2.klett.de/sixcms/media.php/229/AB_104601_779jq5_interaktiv.pdf</w:t>
        </w:r>
      </w:hyperlink>
      <w:r>
        <w:rPr>
          <w:sz w:val="18"/>
          <w:szCs w:val="18"/>
        </w:rPr>
        <w:t xml:space="preserve"> [Zugriff 13.12.2019]</w:t>
      </w:r>
    </w:p>
  </w:footnote>
  <w:footnote w:id="5">
    <w:p w14:paraId="68404AB0" w14:textId="376EF669" w:rsidR="00AA7DC9" w:rsidRPr="00214F8F" w:rsidRDefault="00AA7DC9" w:rsidP="00214F8F">
      <w:pPr>
        <w:pStyle w:val="KeinLeerraum"/>
        <w:rPr>
          <w:sz w:val="18"/>
          <w:szCs w:val="18"/>
        </w:rPr>
      </w:pPr>
      <w:r w:rsidRPr="00214F8F">
        <w:rPr>
          <w:rStyle w:val="Funotenzeichen"/>
          <w:sz w:val="18"/>
          <w:szCs w:val="18"/>
        </w:rPr>
        <w:footnoteRef/>
      </w:r>
      <w:r w:rsidRPr="00214F8F">
        <w:rPr>
          <w:sz w:val="18"/>
          <w:szCs w:val="18"/>
        </w:rPr>
        <w:t xml:space="preserve"> Die Linguistik empfiehlt bei Nomen die </w:t>
      </w:r>
      <w:r w:rsidR="00214F8F">
        <w:rPr>
          <w:sz w:val="18"/>
          <w:szCs w:val="18"/>
        </w:rPr>
        <w:t>zusätzliche Notation von Artikel und Pluralform, z.B. auf einer extra dafür eingerichteten Tafelhälfte bzw. einem Whiteboard.</w:t>
      </w:r>
    </w:p>
  </w:footnote>
  <w:footnote w:id="6">
    <w:p w14:paraId="02C29E0E" w14:textId="77777777" w:rsidR="00983C22" w:rsidRPr="00D23BC3" w:rsidRDefault="00983C22" w:rsidP="00214F8F">
      <w:pPr>
        <w:pStyle w:val="KeinLeerraum"/>
        <w:rPr>
          <w:sz w:val="18"/>
          <w:szCs w:val="18"/>
          <w:lang w:val="en-US"/>
        </w:rPr>
      </w:pPr>
      <w:r w:rsidRPr="00214F8F">
        <w:rPr>
          <w:rStyle w:val="Funotenzeichen"/>
          <w:sz w:val="18"/>
          <w:szCs w:val="18"/>
        </w:rPr>
        <w:footnoteRef/>
      </w:r>
      <w:r w:rsidRPr="00D23BC3">
        <w:rPr>
          <w:sz w:val="18"/>
          <w:szCs w:val="18"/>
          <w:lang w:val="en-US"/>
        </w:rPr>
        <w:t xml:space="preserve"> Basic Interpersonal Communicative Skills</w:t>
      </w:r>
    </w:p>
  </w:footnote>
  <w:footnote w:id="7">
    <w:p w14:paraId="7F362778" w14:textId="77777777" w:rsidR="00983C22" w:rsidRPr="00D23BC3" w:rsidRDefault="00983C22" w:rsidP="00214F8F">
      <w:pPr>
        <w:pStyle w:val="KeinLeerraum"/>
        <w:rPr>
          <w:lang w:val="en-US"/>
        </w:rPr>
      </w:pPr>
      <w:r w:rsidRPr="00214F8F">
        <w:rPr>
          <w:rStyle w:val="Funotenzeichen"/>
          <w:sz w:val="18"/>
          <w:szCs w:val="18"/>
        </w:rPr>
        <w:footnoteRef/>
      </w:r>
      <w:r w:rsidRPr="00D23BC3">
        <w:rPr>
          <w:sz w:val="18"/>
          <w:szCs w:val="18"/>
          <w:lang w:val="en-US"/>
        </w:rPr>
        <w:t xml:space="preserve"> Cognitive Academic Language Proficiency</w:t>
      </w:r>
    </w:p>
  </w:footnote>
  <w:footnote w:id="8">
    <w:p w14:paraId="5B952320" w14:textId="77777777" w:rsidR="00983C22" w:rsidRPr="00D23BC3" w:rsidRDefault="00983C22" w:rsidP="00983C22">
      <w:pPr>
        <w:pStyle w:val="KeinLeerraum"/>
        <w:rPr>
          <w:sz w:val="18"/>
          <w:szCs w:val="18"/>
          <w:lang w:val="en-US"/>
        </w:rPr>
      </w:pPr>
      <w:r w:rsidRPr="00B8194D">
        <w:rPr>
          <w:rStyle w:val="Funotenzeichen"/>
          <w:sz w:val="18"/>
          <w:szCs w:val="18"/>
        </w:rPr>
        <w:footnoteRef/>
      </w:r>
      <w:r w:rsidRPr="00D23BC3">
        <w:rPr>
          <w:sz w:val="18"/>
          <w:szCs w:val="18"/>
          <w:lang w:val="en-US"/>
        </w:rPr>
        <w:t xml:space="preserve"> Cummins, Jim. (2001). Negotiating Identies: Education for Empowerment in a Diverse Society.</w:t>
      </w:r>
    </w:p>
  </w:footnote>
  <w:footnote w:id="9">
    <w:p w14:paraId="03716F33" w14:textId="77777777" w:rsidR="00983C22" w:rsidRDefault="00983C22" w:rsidP="00983C22">
      <w:pPr>
        <w:pStyle w:val="KeinLeerraum"/>
      </w:pPr>
      <w:r w:rsidRPr="00B8194D">
        <w:rPr>
          <w:rStyle w:val="Funotenzeichen"/>
          <w:sz w:val="18"/>
          <w:szCs w:val="18"/>
        </w:rPr>
        <w:footnoteRef/>
      </w:r>
      <w:r w:rsidRPr="00B8194D">
        <w:rPr>
          <w:sz w:val="18"/>
          <w:szCs w:val="18"/>
        </w:rPr>
        <w:t xml:space="preserve"> </w:t>
      </w:r>
      <w:r>
        <w:rPr>
          <w:sz w:val="18"/>
          <w:szCs w:val="18"/>
        </w:rPr>
        <w:t xml:space="preserve">vgl. </w:t>
      </w:r>
      <w:hyperlink r:id="rId5" w:history="1">
        <w:r w:rsidRPr="00165F8C">
          <w:rPr>
            <w:rStyle w:val="Hyperlink"/>
            <w:sz w:val="18"/>
            <w:szCs w:val="18"/>
          </w:rPr>
          <w:t>https://www.schulentwicklung.nrw.de/cms/inklusiver-fachunterricht/lernumgebungen-gestalten/scaffolding-/scaffolding.html</w:t>
        </w:r>
      </w:hyperlink>
      <w:r>
        <w:rPr>
          <w:sz w:val="18"/>
          <w:szCs w:val="18"/>
        </w:rPr>
        <w:t xml:space="preserve"> [Zugriff: 13.12.2019]</w:t>
      </w:r>
    </w:p>
  </w:footnote>
  <w:footnote w:id="10">
    <w:p w14:paraId="5033CFE9" w14:textId="77777777" w:rsidR="00B554BB" w:rsidRDefault="00B554BB" w:rsidP="00B554BB">
      <w:pPr>
        <w:pStyle w:val="Funotentext"/>
      </w:pPr>
      <w:r>
        <w:rPr>
          <w:rStyle w:val="Funotenzeichen"/>
        </w:rPr>
        <w:footnoteRef/>
      </w:r>
      <w:r>
        <w:t xml:space="preserve"> </w:t>
      </w:r>
      <w:r>
        <w:rPr>
          <w:sz w:val="18"/>
          <w:szCs w:val="18"/>
        </w:rPr>
        <w:t xml:space="preserve">Einsatzmöglichkeiten des C-Test vgl. </w:t>
      </w:r>
      <w:hyperlink r:id="rId6" w:history="1">
        <w:r w:rsidRPr="00C70E4C">
          <w:rPr>
            <w:rStyle w:val="Hyperlink"/>
            <w:sz w:val="18"/>
            <w:szCs w:val="18"/>
          </w:rPr>
          <w:t>https://www.uni-due.de/imperia/md/content/prodaz/c_test_einsatzmoeglichkeiten_daz.pdf</w:t>
        </w:r>
      </w:hyperlink>
      <w:r>
        <w:rPr>
          <w:sz w:val="18"/>
          <w:szCs w:val="18"/>
        </w:rPr>
        <w:t xml:space="preserve"> [Zugriff: 13.12.2019]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4ED1A88A"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8F141E">
      <w:rPr>
        <w:b/>
        <w:sz w:val="32"/>
      </w:rPr>
      <w:t>Dolinenbildung</w:t>
    </w:r>
  </w:p>
  <w:p w14:paraId="480C3887" w14:textId="78481955" w:rsidR="00091985" w:rsidRPr="00C22495" w:rsidRDefault="008F141E" w:rsidP="00C22495">
    <w:pPr>
      <w:pStyle w:val="Kopfzeile"/>
      <w:spacing w:after="240"/>
      <w:rPr>
        <w:b/>
        <w:sz w:val="24"/>
      </w:rPr>
    </w:pPr>
    <w:r>
      <w:rPr>
        <w:b/>
        <w:sz w:val="24"/>
      </w:rPr>
      <w:t>Materialgebundene Aufgabe oder Klausuraufgabe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53E31"/>
    <w:multiLevelType w:val="hybridMultilevel"/>
    <w:tmpl w:val="C76E4C40"/>
    <w:lvl w:ilvl="0" w:tplc="82DEFF90">
      <w:start w:val="1"/>
      <w:numFmt w:val="bullet"/>
      <w:lvlText w:val="o"/>
      <w:lvlJc w:val="left"/>
      <w:pPr>
        <w:ind w:left="720" w:hanging="360"/>
      </w:pPr>
      <w:rPr>
        <w:rFonts w:ascii="Courier New" w:hAnsi="Courier New" w:cs="Courier New" w:hint="default"/>
        <w:sz w:val="32"/>
        <w:szCs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072B0B"/>
    <w:multiLevelType w:val="hybridMultilevel"/>
    <w:tmpl w:val="A2E47460"/>
    <w:lvl w:ilvl="0" w:tplc="7452C74E">
      <w:start w:val="1"/>
      <w:numFmt w:val="decimal"/>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D62A71"/>
    <w:multiLevelType w:val="multilevel"/>
    <w:tmpl w:val="37C00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DC4951"/>
    <w:multiLevelType w:val="multilevel"/>
    <w:tmpl w:val="37C00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B225D0"/>
    <w:multiLevelType w:val="hybridMultilevel"/>
    <w:tmpl w:val="11F0A3FA"/>
    <w:lvl w:ilvl="0" w:tplc="0764C13E">
      <w:start w:val="2"/>
      <w:numFmt w:val="decimal"/>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0"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7C63D8D"/>
    <w:multiLevelType w:val="multilevel"/>
    <w:tmpl w:val="2E54A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17702B9"/>
    <w:multiLevelType w:val="multilevel"/>
    <w:tmpl w:val="41A4AFB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2572BB9"/>
    <w:multiLevelType w:val="multilevel"/>
    <w:tmpl w:val="37C00D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48647B"/>
    <w:multiLevelType w:val="multilevel"/>
    <w:tmpl w:val="06D0C73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5B61D5E"/>
    <w:multiLevelType w:val="hybridMultilevel"/>
    <w:tmpl w:val="EF02E100"/>
    <w:lvl w:ilvl="0" w:tplc="5068161A">
      <w:start w:val="1"/>
      <w:numFmt w:val="bullet"/>
      <w:lvlText w:val="o"/>
      <w:lvlJc w:val="left"/>
      <w:pPr>
        <w:ind w:left="720" w:hanging="360"/>
      </w:pPr>
      <w:rPr>
        <w:rFonts w:ascii="Courier New" w:hAnsi="Courier New" w:cs="Courier New" w:hint="default"/>
        <w:sz w:val="32"/>
        <w:szCs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28" w15:restartNumberingAfterBreak="0">
    <w:nsid w:val="7BD15C4C"/>
    <w:multiLevelType w:val="hybridMultilevel"/>
    <w:tmpl w:val="ED8CA3D2"/>
    <w:lvl w:ilvl="0" w:tplc="42B46BEA">
      <w:start w:val="1"/>
      <w:numFmt w:val="bullet"/>
      <w:lvlText w:val="o"/>
      <w:lvlJc w:val="left"/>
      <w:pPr>
        <w:ind w:left="720" w:hanging="360"/>
      </w:pPr>
      <w:rPr>
        <w:rFonts w:ascii="Courier New" w:hAnsi="Courier New" w:cs="Courier New" w:hint="default"/>
        <w:sz w:val="32"/>
        <w:szCs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4"/>
  </w:num>
  <w:num w:numId="4">
    <w:abstractNumId w:val="25"/>
  </w:num>
  <w:num w:numId="5">
    <w:abstractNumId w:val="17"/>
  </w:num>
  <w:num w:numId="6">
    <w:abstractNumId w:val="21"/>
  </w:num>
  <w:num w:numId="7">
    <w:abstractNumId w:val="18"/>
  </w:num>
  <w:num w:numId="8">
    <w:abstractNumId w:val="8"/>
  </w:num>
  <w:num w:numId="9">
    <w:abstractNumId w:val="11"/>
  </w:num>
  <w:num w:numId="10">
    <w:abstractNumId w:val="13"/>
  </w:num>
  <w:num w:numId="11">
    <w:abstractNumId w:val="16"/>
  </w:num>
  <w:num w:numId="12">
    <w:abstractNumId w:val="6"/>
  </w:num>
  <w:num w:numId="13">
    <w:abstractNumId w:val="23"/>
  </w:num>
  <w:num w:numId="14">
    <w:abstractNumId w:val="9"/>
  </w:num>
  <w:num w:numId="15">
    <w:abstractNumId w:val="27"/>
  </w:num>
  <w:num w:numId="16">
    <w:abstractNumId w:val="10"/>
  </w:num>
  <w:num w:numId="17">
    <w:abstractNumId w:val="14"/>
  </w:num>
  <w:num w:numId="18">
    <w:abstractNumId w:val="7"/>
  </w:num>
  <w:num w:numId="19">
    <w:abstractNumId w:val="22"/>
  </w:num>
  <w:num w:numId="20">
    <w:abstractNumId w:val="15"/>
  </w:num>
  <w:num w:numId="21">
    <w:abstractNumId w:val="19"/>
  </w:num>
  <w:num w:numId="22">
    <w:abstractNumId w:val="20"/>
  </w:num>
  <w:num w:numId="23">
    <w:abstractNumId w:val="1"/>
  </w:num>
  <w:num w:numId="24">
    <w:abstractNumId w:val="4"/>
  </w:num>
  <w:num w:numId="25">
    <w:abstractNumId w:val="3"/>
  </w:num>
  <w:num w:numId="26">
    <w:abstractNumId w:val="2"/>
  </w:num>
  <w:num w:numId="27">
    <w:abstractNumId w:val="0"/>
  </w:num>
  <w:num w:numId="28">
    <w:abstractNumId w:val="2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410E7"/>
    <w:rsid w:val="0004375B"/>
    <w:rsid w:val="00091985"/>
    <w:rsid w:val="001037E5"/>
    <w:rsid w:val="00104B56"/>
    <w:rsid w:val="0011122E"/>
    <w:rsid w:val="00121A16"/>
    <w:rsid w:val="00130994"/>
    <w:rsid w:val="00143B1C"/>
    <w:rsid w:val="001B19D0"/>
    <w:rsid w:val="001F542F"/>
    <w:rsid w:val="0021199C"/>
    <w:rsid w:val="00214F8F"/>
    <w:rsid w:val="00217645"/>
    <w:rsid w:val="00272EC0"/>
    <w:rsid w:val="00284F4A"/>
    <w:rsid w:val="002E0312"/>
    <w:rsid w:val="003026DB"/>
    <w:rsid w:val="00323DB2"/>
    <w:rsid w:val="003A4CD0"/>
    <w:rsid w:val="003B47E1"/>
    <w:rsid w:val="00401578"/>
    <w:rsid w:val="004451C7"/>
    <w:rsid w:val="004B26F2"/>
    <w:rsid w:val="004D791F"/>
    <w:rsid w:val="004E4229"/>
    <w:rsid w:val="004F55DD"/>
    <w:rsid w:val="00524AB0"/>
    <w:rsid w:val="00537332"/>
    <w:rsid w:val="00554FD1"/>
    <w:rsid w:val="00572D23"/>
    <w:rsid w:val="005F656B"/>
    <w:rsid w:val="00617951"/>
    <w:rsid w:val="00643AE8"/>
    <w:rsid w:val="00657A7C"/>
    <w:rsid w:val="00726C69"/>
    <w:rsid w:val="0074484F"/>
    <w:rsid w:val="0074500C"/>
    <w:rsid w:val="007603D3"/>
    <w:rsid w:val="007A57E7"/>
    <w:rsid w:val="007A70F7"/>
    <w:rsid w:val="007B753D"/>
    <w:rsid w:val="007C20E3"/>
    <w:rsid w:val="00805156"/>
    <w:rsid w:val="008118F4"/>
    <w:rsid w:val="00817E91"/>
    <w:rsid w:val="00845BEE"/>
    <w:rsid w:val="0086062D"/>
    <w:rsid w:val="008947F1"/>
    <w:rsid w:val="008E7B2E"/>
    <w:rsid w:val="008F141E"/>
    <w:rsid w:val="008F1B40"/>
    <w:rsid w:val="00966650"/>
    <w:rsid w:val="00983C22"/>
    <w:rsid w:val="00985DC6"/>
    <w:rsid w:val="009C50DA"/>
    <w:rsid w:val="009C5CC5"/>
    <w:rsid w:val="009F57F8"/>
    <w:rsid w:val="009F74CA"/>
    <w:rsid w:val="00A21B91"/>
    <w:rsid w:val="00A75E72"/>
    <w:rsid w:val="00AA2473"/>
    <w:rsid w:val="00AA7DC9"/>
    <w:rsid w:val="00AD0B10"/>
    <w:rsid w:val="00B06CF6"/>
    <w:rsid w:val="00B22F4C"/>
    <w:rsid w:val="00B30EEB"/>
    <w:rsid w:val="00B554BB"/>
    <w:rsid w:val="00B62B1F"/>
    <w:rsid w:val="00B84E29"/>
    <w:rsid w:val="00BF594B"/>
    <w:rsid w:val="00C07C03"/>
    <w:rsid w:val="00C22495"/>
    <w:rsid w:val="00C47EE2"/>
    <w:rsid w:val="00CA0EC6"/>
    <w:rsid w:val="00CA40B3"/>
    <w:rsid w:val="00D23BC3"/>
    <w:rsid w:val="00D247D6"/>
    <w:rsid w:val="00D61EEF"/>
    <w:rsid w:val="00D97D02"/>
    <w:rsid w:val="00DA2A44"/>
    <w:rsid w:val="00DF1598"/>
    <w:rsid w:val="00E03784"/>
    <w:rsid w:val="00E07750"/>
    <w:rsid w:val="00E24993"/>
    <w:rsid w:val="00E62BEF"/>
    <w:rsid w:val="00E74E58"/>
    <w:rsid w:val="00E82A86"/>
    <w:rsid w:val="00E913E4"/>
    <w:rsid w:val="00E95FE8"/>
    <w:rsid w:val="00F33480"/>
    <w:rsid w:val="00FA546D"/>
    <w:rsid w:val="00FB547B"/>
    <w:rsid w:val="00FF434F"/>
    <w:rsid w:val="00FF61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8F141E"/>
    <w:pPr>
      <w:suppressAutoHyphens/>
      <w:autoSpaceDN w:val="0"/>
      <w:spacing w:line="251" w:lineRule="auto"/>
      <w:textAlignment w:val="baseline"/>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basedOn w:val="Absatz-Standardschriftart"/>
    <w:unhideWhenUsed/>
    <w:rsid w:val="00E913E4"/>
    <w:rPr>
      <w:color w:val="0563C1"/>
      <w:u w:val="single"/>
    </w:rPr>
  </w:style>
  <w:style w:type="paragraph" w:styleId="Funotentext">
    <w:name w:val="footnote text"/>
    <w:basedOn w:val="Standard"/>
    <w:link w:val="FunotentextZchn"/>
    <w:rsid w:val="008F141E"/>
    <w:pPr>
      <w:spacing w:after="0" w:line="240" w:lineRule="auto"/>
    </w:pPr>
    <w:rPr>
      <w:sz w:val="20"/>
      <w:szCs w:val="20"/>
    </w:rPr>
  </w:style>
  <w:style w:type="character" w:customStyle="1" w:styleId="FunotentextZchn">
    <w:name w:val="Fußnotentext Zchn"/>
    <w:basedOn w:val="Absatz-Standardschriftart"/>
    <w:link w:val="Funotentext"/>
    <w:rsid w:val="008F141E"/>
    <w:rPr>
      <w:rFonts w:ascii="Calibri" w:eastAsia="Calibri" w:hAnsi="Calibri" w:cs="Times New Roman"/>
      <w:sz w:val="20"/>
      <w:szCs w:val="20"/>
    </w:rPr>
  </w:style>
  <w:style w:type="paragraph" w:styleId="KeinLeerraum">
    <w:name w:val="No Spacing"/>
    <w:uiPriority w:val="1"/>
    <w:qFormat/>
    <w:rsid w:val="008F141E"/>
    <w:pPr>
      <w:suppressAutoHyphens/>
      <w:autoSpaceDN w:val="0"/>
      <w:spacing w:after="0" w:line="240" w:lineRule="auto"/>
      <w:textAlignment w:val="baseline"/>
    </w:pPr>
    <w:rPr>
      <w:rFonts w:ascii="Calibri" w:eastAsia="Calibri" w:hAnsi="Calibri" w:cs="Times New Roman"/>
    </w:rPr>
  </w:style>
  <w:style w:type="character" w:styleId="NichtaufgelsteErwhnung">
    <w:name w:val="Unresolved Mention"/>
    <w:basedOn w:val="Absatz-Standardschriftart"/>
    <w:uiPriority w:val="99"/>
    <w:semiHidden/>
    <w:unhideWhenUsed/>
    <w:rsid w:val="0074500C"/>
    <w:rPr>
      <w:color w:val="605E5C"/>
      <w:shd w:val="clear" w:color="auto" w:fill="E1DFDD"/>
    </w:rPr>
  </w:style>
  <w:style w:type="character" w:styleId="BesuchterLink">
    <w:name w:val="FollowedHyperlink"/>
    <w:basedOn w:val="Absatz-Standardschriftart"/>
    <w:uiPriority w:val="99"/>
    <w:semiHidden/>
    <w:unhideWhenUsed/>
    <w:rsid w:val="003A4C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9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ni-giessen.de/fbz/fb05/germanistik/absprache/sprachdidaktik/aufsaetzelinks/pdbabildungssprache" TargetMode="External"/><Relationship Id="rId2" Type="http://schemas.openxmlformats.org/officeDocument/2006/relationships/hyperlink" Target="http://www.rsk-medienzentrum.de/" TargetMode="External"/><Relationship Id="rId1" Type="http://schemas.openxmlformats.org/officeDocument/2006/relationships/hyperlink" Target="https://www.spektrum.de/lexikon/geowissenschaften/doline/3398" TargetMode="External"/><Relationship Id="rId6" Type="http://schemas.openxmlformats.org/officeDocument/2006/relationships/hyperlink" Target="https://www.uni-due.de/imperia/md/content/prodaz/c_test_einsatzmoeglichkeiten_daz.pdf" TargetMode="External"/><Relationship Id="rId5" Type="http://schemas.openxmlformats.org/officeDocument/2006/relationships/hyperlink" Target="https://www.schulentwicklung.nrw.de/cms/inklusiver-fachunterricht/lernumgebungen-gestalten/scaffolding-/scaffolding.html" TargetMode="External"/><Relationship Id="rId4" Type="http://schemas.openxmlformats.org/officeDocument/2006/relationships/hyperlink" Target="https://www2.klett.de/sixcms/media.php/229/AB_104601_779jq5_interakti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09A59-5C3B-40FA-AA44-A474D12B2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7563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3</cp:revision>
  <cp:lastPrinted>2020-01-07T17:34:00Z</cp:lastPrinted>
  <dcterms:created xsi:type="dcterms:W3CDTF">2020-02-27T17:57:00Z</dcterms:created>
  <dcterms:modified xsi:type="dcterms:W3CDTF">2020-02-27T18:07:00Z</dcterms:modified>
</cp:coreProperties>
</file>