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2EA36" w14:textId="330A9EC4" w:rsidR="00091985" w:rsidRDefault="0074484F" w:rsidP="00855757">
      <w:pPr>
        <w:pStyle w:val="Kopfzeile"/>
        <w:spacing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 xml:space="preserve">M1 – </w:t>
      </w:r>
      <w:r w:rsidR="00855757">
        <w:rPr>
          <w:b/>
          <w:bCs/>
          <w:sz w:val="28"/>
          <w:szCs w:val="24"/>
        </w:rPr>
        <w:t>Bedeutung des Solvay-Verfahrens</w:t>
      </w:r>
    </w:p>
    <w:p w14:paraId="3979A723" w14:textId="584D5895" w:rsidR="00855757" w:rsidRDefault="00A65F7D" w:rsidP="00855757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1FD1AC18" wp14:editId="5ED61F09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065655" cy="2433955"/>
            <wp:effectExtent l="0" t="0" r="0" b="444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757" w:rsidRPr="00855757">
        <w:rPr>
          <w:rFonts w:cstheme="minorHAnsi"/>
        </w:rPr>
        <w:t>Soda (Na</w:t>
      </w:r>
      <w:r w:rsidR="00855757" w:rsidRPr="00855757">
        <w:rPr>
          <w:rFonts w:cstheme="minorHAnsi"/>
          <w:vertAlign w:val="subscript"/>
        </w:rPr>
        <w:t>2</w:t>
      </w:r>
      <w:r w:rsidR="00855757" w:rsidRPr="00855757">
        <w:rPr>
          <w:rFonts w:cstheme="minorHAnsi"/>
        </w:rPr>
        <w:t>CO</w:t>
      </w:r>
      <w:r w:rsidR="00855757" w:rsidRPr="00855757">
        <w:rPr>
          <w:rFonts w:cstheme="minorHAnsi"/>
          <w:vertAlign w:val="subscript"/>
        </w:rPr>
        <w:t>3</w:t>
      </w:r>
      <w:r w:rsidR="00855757" w:rsidRPr="00855757">
        <w:rPr>
          <w:rFonts w:cstheme="minorHAnsi"/>
        </w:rPr>
        <w:t>) gehört zu den wichtigsten Produkten der chemischen Industrie.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2007 betrug die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 xml:space="preserve">Weltjahresproduktion etwa </w:t>
      </w:r>
      <m:oMath>
        <m:r>
          <w:rPr>
            <w:rFonts w:ascii="Cambria Math" w:hAnsi="Cambria Math" w:cstheme="minorHAnsi"/>
          </w:rPr>
          <m:t>5∙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10</m:t>
            </m:r>
          </m:e>
          <m:sup>
            <m:r>
              <w:rPr>
                <w:rFonts w:ascii="Cambria Math" w:hAnsi="Cambria Math" w:cstheme="minorHAnsi"/>
              </w:rPr>
              <m:t>6</m:t>
            </m:r>
          </m:sup>
        </m:sSup>
      </m:oMath>
      <w:r w:rsidR="00855757" w:rsidRPr="00855757">
        <w:rPr>
          <w:rFonts w:cstheme="minorHAnsi"/>
        </w:rPr>
        <w:t xml:space="preserve"> Tonnen; davon wurden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25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% aus Naturvorkommen gewonnen, 75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% wurden synthetisch hergestellt.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Etwa die Hälfte der Soda wird zur Herstellung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von Glas eingesetzt, der Rest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wird u.a. zur Herstellung von Waschmitteln benötigt.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Zur Synthese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von Soda wird meist ein Verfahren eingesetzt, das 1860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von Belgier Ernest Solvay entwickelt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wurde und deshalb als Solvay-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Verfahren bezeichnet wird. (Die weltweit tätigen Solvay-Werke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gehen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letztendlich auf den Einsatz dieses Verfahrens zurück; gegründet wurden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sie von Ernest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Solvay selbst, weil sein Patentantrag für das Verfahren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abgelehnt wurde. Um trotzdem Geld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damit zu verdienen, musste er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das Verfahren selbst wirtschaftlich einsetzen.)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Bei diesem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Verfahren wird die relativ schlechte Löslichkeit von NaHCO3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in Wasser ausgenutzt. (Löslichkeit: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 xml:space="preserve">96 g pro Liter bei 20°C </w:t>
      </w:r>
      <w:r w:rsidR="00855757" w:rsidRPr="00855757">
        <w:rPr>
          <w:rFonts w:cstheme="minorHAnsi"/>
        </w:rPr>
        <w:t>–</w:t>
      </w:r>
      <w:r w:rsidR="00855757" w:rsidRPr="00855757">
        <w:rPr>
          <w:rFonts w:cstheme="minorHAnsi"/>
        </w:rPr>
        <w:t xml:space="preserve"> Na</w:t>
      </w:r>
      <w:r w:rsidR="00855757" w:rsidRPr="00855757">
        <w:rPr>
          <w:rFonts w:cstheme="minorHAnsi"/>
          <w:vertAlign w:val="subscript"/>
        </w:rPr>
        <w:t>2</w:t>
      </w:r>
      <w:r w:rsidR="00855757" w:rsidRPr="00855757">
        <w:rPr>
          <w:rFonts w:cstheme="minorHAnsi"/>
        </w:rPr>
        <w:t>CO</w:t>
      </w:r>
      <w:r w:rsidR="00855757" w:rsidRPr="00855757">
        <w:rPr>
          <w:rFonts w:cstheme="minorHAnsi"/>
          <w:vertAlign w:val="subscript"/>
        </w:rPr>
        <w:t>3</w:t>
      </w:r>
      <w:r w:rsidR="00855757" w:rsidRPr="00855757">
        <w:rPr>
          <w:rFonts w:cstheme="minorHAnsi"/>
        </w:rPr>
        <w:t xml:space="preserve"> </w:t>
      </w:r>
      <w:r w:rsidR="00855757" w:rsidRPr="00855757">
        <w:rPr>
          <w:rFonts w:cstheme="minorHAnsi"/>
        </w:rPr>
        <w:t>dagegen ist in Wasser viel besser löslich: 217 g / Liter bei 20°C)</w:t>
      </w:r>
      <w:r w:rsidR="00855757" w:rsidRPr="00855757">
        <w:rPr>
          <w:rFonts w:cstheme="minorHAnsi"/>
        </w:rPr>
        <w:t>.</w:t>
      </w:r>
    </w:p>
    <w:p w14:paraId="35D23E55" w14:textId="7D631E8C" w:rsidR="00855757" w:rsidRDefault="00855757" w:rsidP="00855757">
      <w:pPr>
        <w:pStyle w:val="Kopfzeile"/>
        <w:spacing w:before="240"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>M</w:t>
      </w:r>
      <w:r>
        <w:rPr>
          <w:b/>
          <w:bCs/>
          <w:sz w:val="28"/>
          <w:szCs w:val="24"/>
        </w:rPr>
        <w:t>2</w:t>
      </w:r>
      <w:r w:rsidRPr="0074484F">
        <w:rPr>
          <w:b/>
          <w:bCs/>
          <w:sz w:val="28"/>
          <w:szCs w:val="24"/>
        </w:rPr>
        <w:t xml:space="preserve"> – </w:t>
      </w:r>
      <w:r>
        <w:rPr>
          <w:b/>
          <w:bCs/>
          <w:sz w:val="28"/>
          <w:szCs w:val="24"/>
        </w:rPr>
        <w:t>Prinzip des Solvay-Verfahrens</w:t>
      </w:r>
    </w:p>
    <w:p w14:paraId="0FB00BBF" w14:textId="4E850EF2" w:rsidR="00855757" w:rsidRPr="00855757" w:rsidRDefault="00855757" w:rsidP="008557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</w:rPr>
      </w:pPr>
      <w:r w:rsidRPr="00855757">
        <w:rPr>
          <w:rFonts w:cstheme="minorHAnsi"/>
        </w:rPr>
        <w:drawing>
          <wp:anchor distT="0" distB="0" distL="114300" distR="114300" simplePos="0" relativeHeight="251658240" behindDoc="0" locked="0" layoutInCell="1" allowOverlap="1" wp14:anchorId="68C4580D" wp14:editId="619B3B18">
            <wp:simplePos x="0" y="0"/>
            <wp:positionH relativeFrom="margin">
              <wp:align>right</wp:align>
            </wp:positionH>
            <wp:positionV relativeFrom="paragraph">
              <wp:posOffset>5990</wp:posOffset>
            </wp:positionV>
            <wp:extent cx="3750310" cy="2498725"/>
            <wp:effectExtent l="0" t="0" r="254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31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5757">
        <w:rPr>
          <w:rFonts w:cstheme="minorHAnsi"/>
          <w:b/>
          <w:bCs/>
          <w:i/>
          <w:iCs/>
        </w:rPr>
        <w:t>Prinzip des Solvay-Verfahrens</w:t>
      </w:r>
    </w:p>
    <w:p w14:paraId="3607CB4B" w14:textId="6487F313" w:rsidR="00855757" w:rsidRDefault="00855757" w:rsidP="0085575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55757">
        <w:rPr>
          <w:rFonts w:cstheme="minorHAnsi"/>
        </w:rPr>
        <w:t>(vereinfacht, vollständigere Darstellung</w:t>
      </w:r>
      <w:r>
        <w:rPr>
          <w:rFonts w:cstheme="minorHAnsi"/>
        </w:rPr>
        <w:t xml:space="preserve"> </w:t>
      </w:r>
      <w:r w:rsidRPr="00855757">
        <w:rPr>
          <w:rFonts w:cstheme="minorHAnsi"/>
        </w:rPr>
        <w:t>rechts im Fließschema):</w:t>
      </w:r>
      <w:r w:rsidRPr="00855757">
        <w:rPr>
          <w:noProof/>
        </w:rPr>
        <w:t xml:space="preserve"> </w:t>
      </w:r>
    </w:p>
    <w:p w14:paraId="7F0668CC" w14:textId="77777777" w:rsidR="00855757" w:rsidRDefault="00855757" w:rsidP="00855757">
      <w:pPr>
        <w:pStyle w:val="Kopfzeile"/>
        <w:numPr>
          <w:ilvl w:val="0"/>
          <w:numId w:val="1"/>
        </w:numPr>
        <w:spacing w:after="120" w:line="259" w:lineRule="auto"/>
        <w:ind w:left="357" w:hanging="357"/>
        <w:jc w:val="both"/>
        <w:rPr>
          <w:rFonts w:cstheme="minorHAnsi"/>
          <w:color w:val="000000"/>
        </w:rPr>
      </w:pPr>
      <w:r w:rsidRPr="00855757">
        <w:rPr>
          <w:rFonts w:cstheme="minorHAnsi"/>
          <w:color w:val="000000"/>
        </w:rPr>
        <w:t>In eine gesättigte NaCl-Lösung,</w:t>
      </w:r>
      <w:r w:rsidRPr="00855757">
        <w:rPr>
          <w:rFonts w:cstheme="minorHAnsi"/>
          <w:color w:val="000000"/>
        </w:rPr>
        <w:t xml:space="preserve"> </w:t>
      </w:r>
      <w:r w:rsidRPr="00855757">
        <w:rPr>
          <w:rFonts w:cstheme="minorHAnsi"/>
          <w:color w:val="000000"/>
        </w:rPr>
        <w:t>die mit Ammoniak alkalisch gemacht</w:t>
      </w:r>
      <w:r w:rsidRPr="00855757">
        <w:rPr>
          <w:rFonts w:cstheme="minorHAnsi"/>
          <w:color w:val="000000"/>
        </w:rPr>
        <w:t xml:space="preserve"> </w:t>
      </w:r>
      <w:r w:rsidRPr="00855757">
        <w:rPr>
          <w:rFonts w:cstheme="minorHAnsi"/>
          <w:color w:val="000000"/>
        </w:rPr>
        <w:t>wurde, wird CO</w:t>
      </w:r>
      <w:r w:rsidRPr="00855757">
        <w:rPr>
          <w:rFonts w:cstheme="minorHAnsi"/>
          <w:color w:val="000000"/>
          <w:vertAlign w:val="subscript"/>
        </w:rPr>
        <w:t>2</w:t>
      </w:r>
      <w:r w:rsidRPr="00855757">
        <w:rPr>
          <w:rFonts w:cstheme="minorHAnsi"/>
          <w:color w:val="000000"/>
        </w:rPr>
        <w:t xml:space="preserve"> eingeleitet.</w:t>
      </w:r>
      <w:r w:rsidRPr="00855757">
        <w:rPr>
          <w:rFonts w:cstheme="minorHAnsi"/>
          <w:color w:val="000000"/>
        </w:rPr>
        <w:t xml:space="preserve"> </w:t>
      </w:r>
      <w:r w:rsidRPr="00855757">
        <w:rPr>
          <w:rFonts w:cstheme="minorHAnsi"/>
          <w:color w:val="000000"/>
        </w:rPr>
        <w:t>Nach</w:t>
      </w:r>
      <w:r w:rsidRPr="00855757">
        <w:rPr>
          <w:rFonts w:cstheme="minorHAnsi"/>
          <w:color w:val="000000"/>
        </w:rPr>
        <w:t xml:space="preserve"> </w:t>
      </w:r>
      <w:r w:rsidRPr="00855757">
        <w:rPr>
          <w:rFonts w:cstheme="minorHAnsi"/>
          <w:color w:val="000000"/>
        </w:rPr>
        <w:t>einiger Zeit bildet sich</w:t>
      </w:r>
      <w:r w:rsidRPr="00855757">
        <w:rPr>
          <w:rFonts w:cstheme="minorHAnsi"/>
          <w:color w:val="000000"/>
        </w:rPr>
        <w:t xml:space="preserve"> </w:t>
      </w:r>
      <w:r w:rsidRPr="00855757">
        <w:rPr>
          <w:rFonts w:cstheme="minorHAnsi"/>
          <w:color w:val="000000"/>
        </w:rPr>
        <w:t>festes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>.</w:t>
      </w:r>
    </w:p>
    <w:p w14:paraId="55082DCF" w14:textId="4576F0F3" w:rsidR="00855757" w:rsidRPr="00855757" w:rsidRDefault="00855757" w:rsidP="00855757">
      <w:pPr>
        <w:pStyle w:val="Kopfzeile"/>
        <w:numPr>
          <w:ilvl w:val="0"/>
          <w:numId w:val="1"/>
        </w:numPr>
        <w:spacing w:after="120" w:line="259" w:lineRule="auto"/>
        <w:ind w:left="357" w:hanging="357"/>
        <w:jc w:val="both"/>
        <w:rPr>
          <w:rFonts w:cstheme="minorHAnsi"/>
          <w:color w:val="000000"/>
        </w:rPr>
      </w:pPr>
      <w:r w:rsidRPr="00855757">
        <w:rPr>
          <w:rFonts w:cstheme="minorHAnsi"/>
        </w:rPr>
        <w:t>Das feste NaHCO</w:t>
      </w:r>
      <w:r w:rsidRPr="00855757">
        <w:rPr>
          <w:rFonts w:cstheme="minorHAnsi"/>
          <w:vertAlign w:val="subscript"/>
        </w:rPr>
        <w:t>3</w:t>
      </w:r>
      <w:r w:rsidRPr="00855757">
        <w:rPr>
          <w:rFonts w:cstheme="minorHAnsi"/>
        </w:rPr>
        <w:t xml:space="preserve"> wird anschließend</w:t>
      </w:r>
      <w:r w:rsidRPr="00855757">
        <w:rPr>
          <w:rFonts w:cstheme="minorHAnsi"/>
        </w:rPr>
        <w:t xml:space="preserve"> </w:t>
      </w:r>
      <w:r w:rsidRPr="00855757">
        <w:rPr>
          <w:rFonts w:cstheme="minorHAnsi"/>
        </w:rPr>
        <w:t>erhitzt und dadurch</w:t>
      </w:r>
      <w:r w:rsidRPr="00855757">
        <w:rPr>
          <w:rFonts w:cstheme="minorHAnsi"/>
        </w:rPr>
        <w:t xml:space="preserve"> </w:t>
      </w:r>
      <w:r w:rsidRPr="00855757">
        <w:rPr>
          <w:rFonts w:cstheme="minorHAnsi"/>
        </w:rPr>
        <w:t>thermisch zersetzt. Dabei werden</w:t>
      </w:r>
      <w:r w:rsidRPr="00855757">
        <w:rPr>
          <w:rFonts w:cstheme="minorHAnsi"/>
        </w:rPr>
        <w:t xml:space="preserve"> </w:t>
      </w:r>
      <w:r w:rsidRPr="00855757">
        <w:rPr>
          <w:rFonts w:cstheme="minorHAnsi"/>
        </w:rPr>
        <w:t>H</w:t>
      </w:r>
      <w:r w:rsidRPr="00855757">
        <w:rPr>
          <w:rFonts w:cstheme="minorHAnsi"/>
          <w:vertAlign w:val="subscript"/>
        </w:rPr>
        <w:t>2</w:t>
      </w:r>
      <w:r w:rsidRPr="00855757">
        <w:rPr>
          <w:rFonts w:cstheme="minorHAnsi"/>
        </w:rPr>
        <w:t>O und CO</w:t>
      </w:r>
      <w:r w:rsidRPr="00855757">
        <w:rPr>
          <w:rFonts w:cstheme="minorHAnsi"/>
          <w:vertAlign w:val="subscript"/>
        </w:rPr>
        <w:t>2</w:t>
      </w:r>
      <w:r w:rsidRPr="00855757">
        <w:rPr>
          <w:rFonts w:cstheme="minorHAnsi"/>
        </w:rPr>
        <w:t xml:space="preserve"> freigesetzt.</w:t>
      </w:r>
      <w:r w:rsidRPr="00855757">
        <w:rPr>
          <w:rFonts w:cstheme="minorHAnsi"/>
        </w:rPr>
        <w:t xml:space="preserve"> </w:t>
      </w:r>
      <w:r w:rsidRPr="00855757">
        <w:rPr>
          <w:rFonts w:cstheme="minorHAnsi"/>
        </w:rPr>
        <w:t>Soda bleibt als Feststoff zurück.</w:t>
      </w:r>
    </w:p>
    <w:p w14:paraId="51BB3A5C" w14:textId="3ACA0108" w:rsidR="0074484F" w:rsidRDefault="0074484F" w:rsidP="00130994">
      <w:pPr>
        <w:pStyle w:val="Kopfzeile"/>
        <w:spacing w:before="240" w:after="120"/>
        <w:rPr>
          <w:b/>
          <w:bCs/>
          <w:sz w:val="28"/>
          <w:szCs w:val="24"/>
        </w:rPr>
      </w:pPr>
      <w:r w:rsidRPr="0074484F">
        <w:rPr>
          <w:b/>
          <w:bCs/>
          <w:sz w:val="28"/>
          <w:szCs w:val="24"/>
        </w:rPr>
        <w:t>Aufgaben</w:t>
      </w:r>
    </w:p>
    <w:p w14:paraId="0D825EEF" w14:textId="77777777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jc w:val="both"/>
        <w:rPr>
          <w:rFonts w:cstheme="minorHAnsi"/>
        </w:rPr>
      </w:pPr>
      <w:bookmarkStart w:id="1" w:name="_GoBack"/>
      <w:bookmarkEnd w:id="1"/>
      <w:r w:rsidRPr="00855757">
        <w:rPr>
          <w:rFonts w:cstheme="minorHAnsi"/>
          <w:color w:val="000000"/>
        </w:rPr>
        <w:t xml:space="preserve">Formulieren Sie die Reaktionsgleichungen in den Einzelschritten des Solvay-Prozesses (linke Seite des Fließschemas) </w:t>
      </w:r>
      <w:r w:rsidRPr="00855757">
        <w:rPr>
          <w:rFonts w:cstheme="minorHAnsi"/>
          <w:i/>
          <w:iCs/>
          <w:color w:val="808080"/>
        </w:rPr>
        <w:t>und erstellen Sie eine Gesamtreaktionsgleichung für den Prozess</w:t>
      </w:r>
      <w:r w:rsidRPr="00855757">
        <w:rPr>
          <w:rFonts w:cstheme="minorHAnsi"/>
          <w:color w:val="000000"/>
        </w:rPr>
        <w:t xml:space="preserve">. </w:t>
      </w:r>
    </w:p>
    <w:p w14:paraId="2C73D940" w14:textId="77777777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855757">
        <w:rPr>
          <w:rFonts w:cstheme="minorHAnsi"/>
          <w:color w:val="000000"/>
        </w:rPr>
        <w:t xml:space="preserve">Erläutern Sie, inwiefern die Alkalisierung der NaCl-Lösung, die Verwendung einer </w:t>
      </w:r>
      <w:r w:rsidRPr="00855757">
        <w:rPr>
          <w:rFonts w:cstheme="minorHAnsi"/>
          <w:b/>
          <w:bCs/>
          <w:color w:val="000000"/>
        </w:rPr>
        <w:t xml:space="preserve">gesättigten </w:t>
      </w:r>
      <w:r w:rsidRPr="00855757">
        <w:rPr>
          <w:rFonts w:cstheme="minorHAnsi"/>
          <w:color w:val="000000"/>
        </w:rPr>
        <w:t>NaCl-Lösung und die Bildung von festem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 xml:space="preserve"> dazu beitragen, dass die Lösung besonders viel CO</w:t>
      </w:r>
      <w:r w:rsidRPr="00855757">
        <w:rPr>
          <w:rFonts w:cstheme="minorHAnsi"/>
          <w:color w:val="000000"/>
          <w:vertAlign w:val="subscript"/>
        </w:rPr>
        <w:t>2</w:t>
      </w:r>
      <w:r w:rsidRPr="00855757">
        <w:rPr>
          <w:rFonts w:cstheme="minorHAnsi"/>
          <w:color w:val="000000"/>
        </w:rPr>
        <w:t xml:space="preserve"> bindet.</w:t>
      </w:r>
    </w:p>
    <w:p w14:paraId="557ACCD9" w14:textId="77777777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855757">
        <w:rPr>
          <w:rFonts w:cstheme="minorHAnsi"/>
          <w:color w:val="000000"/>
        </w:rPr>
        <w:t>Das zwischenzeitlich anfallende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 xml:space="preserve"> kann nach dem Filtrieren auch als Backpulver oder Löschpulver in Pulverfeuerlöschern verwendet werden. Erläutern Sie diesen Einsatz von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>!</w:t>
      </w:r>
    </w:p>
    <w:p w14:paraId="1D040AB7" w14:textId="77777777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855757">
        <w:rPr>
          <w:rFonts w:cstheme="minorHAnsi"/>
          <w:color w:val="000000"/>
        </w:rPr>
        <w:t>Formulieren Sie für die Prozesse auf der rechten Seite des Fließschemas die Reaktionsgleichungen.</w:t>
      </w:r>
    </w:p>
    <w:p w14:paraId="0828FE1E" w14:textId="77777777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855757">
        <w:rPr>
          <w:rFonts w:cstheme="minorHAnsi"/>
          <w:color w:val="000000"/>
        </w:rPr>
        <w:t>Löst man eine ausreichende Menge Soda in Wasser und leitet CO</w:t>
      </w:r>
      <w:r w:rsidRPr="00855757">
        <w:rPr>
          <w:rFonts w:cstheme="minorHAnsi"/>
          <w:color w:val="000000"/>
          <w:vertAlign w:val="subscript"/>
        </w:rPr>
        <w:t>2</w:t>
      </w:r>
      <w:r w:rsidRPr="00855757">
        <w:rPr>
          <w:rFonts w:cstheme="minorHAnsi"/>
          <w:color w:val="000000"/>
        </w:rPr>
        <w:t xml:space="preserve"> ein, trübt sich die Lösung nach einiger Zeit aufgrund von festem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>. Erklären Sie dieses Phänomen.</w:t>
      </w:r>
    </w:p>
    <w:p w14:paraId="5A522DEE" w14:textId="7C646885" w:rsidR="00855757" w:rsidRPr="00855757" w:rsidRDefault="00855757" w:rsidP="00A65F7D">
      <w:pPr>
        <w:pStyle w:val="Kopfzeile"/>
        <w:numPr>
          <w:ilvl w:val="0"/>
          <w:numId w:val="10"/>
        </w:numPr>
        <w:spacing w:after="120" w:line="259" w:lineRule="auto"/>
        <w:ind w:left="357" w:hanging="357"/>
        <w:jc w:val="both"/>
        <w:rPr>
          <w:rFonts w:cstheme="minorHAnsi"/>
        </w:rPr>
      </w:pPr>
      <w:r w:rsidRPr="00855757">
        <w:rPr>
          <w:rFonts w:cstheme="minorHAnsi"/>
          <w:color w:val="000000"/>
        </w:rPr>
        <w:t>Gibt man auf Na</w:t>
      </w:r>
      <w:r w:rsidRPr="00855757">
        <w:rPr>
          <w:rFonts w:cstheme="minorHAnsi"/>
          <w:color w:val="000000"/>
          <w:vertAlign w:val="subscript"/>
        </w:rPr>
        <w:t>2</w:t>
      </w:r>
      <w:r w:rsidRPr="00855757">
        <w:rPr>
          <w:rFonts w:cstheme="minorHAnsi"/>
          <w:color w:val="000000"/>
        </w:rPr>
        <w:t>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 xml:space="preserve"> oder auch auf NaHCO</w:t>
      </w:r>
      <w:r w:rsidRPr="00855757">
        <w:rPr>
          <w:rFonts w:cstheme="minorHAnsi"/>
          <w:color w:val="000000"/>
          <w:vertAlign w:val="subscript"/>
        </w:rPr>
        <w:t>3</w:t>
      </w:r>
      <w:r w:rsidRPr="00855757">
        <w:rPr>
          <w:rFonts w:cstheme="minorHAnsi"/>
          <w:color w:val="000000"/>
        </w:rPr>
        <w:t xml:space="preserve"> konzentrierte Salzsäure, so ist ein unterschiedlich intensives Sprudeln zu beobachten. Erklären Sie!</w:t>
      </w:r>
    </w:p>
    <w:sectPr w:rsidR="00855757" w:rsidRPr="00855757" w:rsidSect="00C22495">
      <w:headerReference w:type="default" r:id="rId10"/>
      <w:footerReference w:type="default" r:id="rId11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EF81D" w14:textId="77777777" w:rsidR="0004722E" w:rsidRDefault="0004722E" w:rsidP="00091985">
      <w:pPr>
        <w:spacing w:after="0" w:line="240" w:lineRule="auto"/>
      </w:pPr>
      <w:r>
        <w:separator/>
      </w:r>
    </w:p>
  </w:endnote>
  <w:endnote w:type="continuationSeparator" w:id="0">
    <w:p w14:paraId="322DB64B" w14:textId="77777777" w:rsidR="0004722E" w:rsidRDefault="0004722E" w:rsidP="0009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228A2CB9" w:rsidR="00091985" w:rsidRDefault="00A65F7D">
          <w:pPr>
            <w:pStyle w:val="Fuzeile"/>
          </w:pPr>
          <w:r>
            <w:rPr>
              <w:sz w:val="12"/>
              <w:szCs w:val="12"/>
            </w:rPr>
            <w:t>Andreas Böhm</w:t>
          </w:r>
          <w:r w:rsidR="00E95FE8" w:rsidRPr="009A4F65">
            <w:rPr>
              <w:sz w:val="12"/>
              <w:szCs w:val="12"/>
            </w:rPr>
            <w:t xml:space="preserve"> im Team LN</w:t>
          </w:r>
          <w:r w:rsidR="00E95FE8">
            <w:rPr>
              <w:sz w:val="12"/>
              <w:szCs w:val="12"/>
            </w:rPr>
            <w:t>CU für Sinus/QUA-LiS NRW, 2019. Alle Materialien</w:t>
          </w:r>
          <w:r w:rsidR="00CA40B3">
            <w:rPr>
              <w:sz w:val="12"/>
              <w:szCs w:val="12"/>
            </w:rPr>
            <w:t xml:space="preserve"> und Abbildungen</w:t>
          </w:r>
          <w:r w:rsidR="00E95FE8">
            <w:rPr>
              <w:sz w:val="12"/>
              <w:szCs w:val="12"/>
            </w:rPr>
            <w:t xml:space="preserve">, sofern nicht anders gekennzeichnet, unter </w:t>
          </w:r>
          <w:r w:rsidR="00E95FE8" w:rsidRPr="009A4F65">
            <w:rPr>
              <w:sz w:val="12"/>
              <w:szCs w:val="12"/>
            </w:rPr>
            <w:t>CC-BY-SA</w:t>
          </w:r>
          <w:r w:rsidR="00E95FE8">
            <w:rPr>
              <w:sz w:val="12"/>
              <w:szCs w:val="12"/>
            </w:rPr>
            <w:t>.</w:t>
          </w:r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82DD9" w14:textId="77777777" w:rsidR="0004722E" w:rsidRDefault="0004722E" w:rsidP="00091985">
      <w:pPr>
        <w:spacing w:after="0" w:line="240" w:lineRule="auto"/>
      </w:pPr>
      <w:bookmarkStart w:id="0" w:name="_Hlk28534524"/>
      <w:bookmarkEnd w:id="0"/>
      <w:r>
        <w:separator/>
      </w:r>
    </w:p>
  </w:footnote>
  <w:footnote w:type="continuationSeparator" w:id="0">
    <w:p w14:paraId="29E9B7E3" w14:textId="77777777" w:rsidR="0004722E" w:rsidRDefault="0004722E" w:rsidP="0009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6223C" w14:textId="47F98844" w:rsidR="00C22495" w:rsidRDefault="00C22495" w:rsidP="00C22495">
    <w:pPr>
      <w:pStyle w:val="Kopfzeile"/>
      <w:rPr>
        <w:b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55757">
      <w:rPr>
        <w:b/>
        <w:sz w:val="32"/>
      </w:rPr>
      <w:t>Herstellung von Soda mit dem Solvay-Verfahren</w:t>
    </w:r>
  </w:p>
  <w:p w14:paraId="480C3887" w14:textId="4D90BEC7" w:rsidR="00091985" w:rsidRPr="00C22495" w:rsidRDefault="00855757" w:rsidP="00C22495">
    <w:pPr>
      <w:pStyle w:val="Kopfzeile"/>
      <w:spacing w:after="240"/>
      <w:rPr>
        <w:b/>
        <w:sz w:val="24"/>
      </w:rPr>
    </w:pPr>
    <w:r>
      <w:rPr>
        <w:b/>
        <w:sz w:val="24"/>
      </w:rPr>
      <w:t>Anwendung des Prinzips von Le Chatelier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D474F4"/>
    <w:multiLevelType w:val="hybridMultilevel"/>
    <w:tmpl w:val="E8B05C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FB7F7A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4722E"/>
    <w:rsid w:val="00091985"/>
    <w:rsid w:val="00130994"/>
    <w:rsid w:val="002E0312"/>
    <w:rsid w:val="004D791F"/>
    <w:rsid w:val="004F55DD"/>
    <w:rsid w:val="00572D23"/>
    <w:rsid w:val="0074484F"/>
    <w:rsid w:val="007B753D"/>
    <w:rsid w:val="007C20E3"/>
    <w:rsid w:val="00805156"/>
    <w:rsid w:val="00855757"/>
    <w:rsid w:val="0086062D"/>
    <w:rsid w:val="008947F1"/>
    <w:rsid w:val="00A21B91"/>
    <w:rsid w:val="00A65F7D"/>
    <w:rsid w:val="00BF594B"/>
    <w:rsid w:val="00C22495"/>
    <w:rsid w:val="00CA0EC6"/>
    <w:rsid w:val="00CA40B3"/>
    <w:rsid w:val="00E62BEF"/>
    <w:rsid w:val="00E74E58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575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3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12637-C203-4B28-A403-8D09E03A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6</cp:revision>
  <cp:lastPrinted>2019-12-29T17:54:00Z</cp:lastPrinted>
  <dcterms:created xsi:type="dcterms:W3CDTF">2019-12-29T18:00:00Z</dcterms:created>
  <dcterms:modified xsi:type="dcterms:W3CDTF">2019-12-29T21:43:00Z</dcterms:modified>
</cp:coreProperties>
</file>