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703E6" w14:textId="2E12A743" w:rsidR="00F90770" w:rsidRDefault="000D36A8" w:rsidP="00C50C31">
      <w:pPr>
        <w:pStyle w:val="berschrift1"/>
        <w:rPr>
          <w:rFonts w:eastAsia="Times New Roman"/>
          <w:lang w:eastAsia="de-DE"/>
        </w:rPr>
      </w:pPr>
      <w:bookmarkStart w:id="1" w:name="_GoBack"/>
      <w:bookmarkEnd w:id="1"/>
      <w:r w:rsidRPr="000D36A8">
        <w:rPr>
          <w:rFonts w:eastAsia="Times New Roman"/>
          <w:lang w:eastAsia="de-DE"/>
        </w:rPr>
        <w:t>Didaktisch-methodische Hinweise</w:t>
      </w:r>
    </w:p>
    <w:p w14:paraId="29DB32B8" w14:textId="77777777" w:rsidR="00E820A7" w:rsidRDefault="00E820A7" w:rsidP="00E820A7">
      <w:pPr>
        <w:rPr>
          <w:lang w:eastAsia="de-DE"/>
        </w:rPr>
      </w:pPr>
      <w:r>
        <w:rPr>
          <w:lang w:eastAsia="de-DE"/>
        </w:rPr>
        <w:t>In der Lernaufgabe zur Einführung des Kalkkreislaufs als Bestandteil des globalen Kohlenstoffkreislaufs bestätigen die Schüler zunächst experimentell das vermehrte Auflösen von Calciumcarbonat mit steigender CO</w:t>
      </w:r>
      <w:r w:rsidRPr="00F92F80">
        <w:rPr>
          <w:vertAlign w:val="subscript"/>
          <w:lang w:eastAsia="de-DE"/>
        </w:rPr>
        <w:t>2</w:t>
      </w:r>
      <w:r>
        <w:rPr>
          <w:lang w:eastAsia="de-DE"/>
        </w:rPr>
        <w:t>-Konzentration der wässrigen Lösung und erklären dies durch die Reaktion zu gut wasserlöslichem Calciumhydrogencarbonat.</w:t>
      </w:r>
    </w:p>
    <w:p w14:paraId="593592C9" w14:textId="77777777" w:rsidR="00E820A7" w:rsidRDefault="00E820A7" w:rsidP="00E820A7">
      <w:pPr>
        <w:rPr>
          <w:lang w:eastAsia="de-DE"/>
        </w:rPr>
      </w:pPr>
      <w:r>
        <w:rPr>
          <w:lang w:eastAsia="de-DE"/>
        </w:rPr>
        <w:t>Der zentrale fachwissenschaftliche Erkenntnisfortschritt der Stunde bezieht sich die Verwitterung von CaCO</w:t>
      </w:r>
      <w:r w:rsidRPr="00F92F80">
        <w:rPr>
          <w:vertAlign w:val="subscript"/>
          <w:lang w:eastAsia="de-DE"/>
        </w:rPr>
        <w:t>3</w:t>
      </w:r>
      <w:r>
        <w:rPr>
          <w:lang w:eastAsia="de-DE"/>
        </w:rPr>
        <w:t xml:space="preserve">, die sich in der Hinreaktion der Gleichgewichtsreaktion </w:t>
      </w:r>
    </w:p>
    <w:p w14:paraId="774D0FF8" w14:textId="492C630B" w:rsidR="00E820A7" w:rsidRPr="00F82B57" w:rsidRDefault="00E820A7" w:rsidP="00E820A7">
      <w:pPr>
        <w:jc w:val="center"/>
        <w:rPr>
          <w:lang w:val="en-US" w:eastAsia="de-DE"/>
        </w:rPr>
      </w:pPr>
      <w:r w:rsidRPr="00F82B57">
        <w:rPr>
          <w:lang w:val="en-US" w:eastAsia="de-DE"/>
        </w:rPr>
        <w:t>CaCO</w:t>
      </w:r>
      <w:r w:rsidRPr="00F82B57">
        <w:rPr>
          <w:vertAlign w:val="subscript"/>
          <w:lang w:val="en-US" w:eastAsia="de-DE"/>
        </w:rPr>
        <w:t>3</w:t>
      </w:r>
      <w:r w:rsidRPr="00F82B57">
        <w:rPr>
          <w:lang w:val="en-US" w:eastAsia="de-DE"/>
        </w:rPr>
        <w:t xml:space="preserve"> </w:t>
      </w:r>
      <w:r w:rsidR="00F82B57">
        <w:rPr>
          <w:lang w:val="en-US" w:eastAsia="de-DE"/>
        </w:rPr>
        <w:t xml:space="preserve">(s) </w:t>
      </w:r>
      <w:r w:rsidRPr="00F82B57">
        <w:rPr>
          <w:lang w:val="en-US" w:eastAsia="de-DE"/>
        </w:rPr>
        <w:t>+ CO</w:t>
      </w:r>
      <w:r w:rsidRPr="00F82B57">
        <w:rPr>
          <w:vertAlign w:val="subscript"/>
          <w:lang w:val="en-US" w:eastAsia="de-DE"/>
        </w:rPr>
        <w:t>2</w:t>
      </w:r>
      <w:r w:rsidRPr="00F82B57">
        <w:rPr>
          <w:lang w:val="en-US" w:eastAsia="de-DE"/>
        </w:rPr>
        <w:t xml:space="preserve"> </w:t>
      </w:r>
      <w:r w:rsidR="00F82B57">
        <w:rPr>
          <w:lang w:val="en-US" w:eastAsia="de-DE"/>
        </w:rPr>
        <w:t>(</w:t>
      </w:r>
      <w:proofErr w:type="spellStart"/>
      <w:r w:rsidR="00F82B57">
        <w:rPr>
          <w:lang w:val="en-US" w:eastAsia="de-DE"/>
        </w:rPr>
        <w:t>aq</w:t>
      </w:r>
      <w:proofErr w:type="spellEnd"/>
      <w:r w:rsidR="00F82B57">
        <w:rPr>
          <w:lang w:val="en-US" w:eastAsia="de-DE"/>
        </w:rPr>
        <w:t xml:space="preserve">) </w:t>
      </w:r>
      <w:r w:rsidRPr="00F82B57">
        <w:rPr>
          <w:lang w:val="en-US" w:eastAsia="de-DE"/>
        </w:rPr>
        <w:t>+ H</w:t>
      </w:r>
      <w:r w:rsidRPr="00F82B57">
        <w:rPr>
          <w:vertAlign w:val="subscript"/>
          <w:lang w:val="en-US" w:eastAsia="de-DE"/>
        </w:rPr>
        <w:t>2</w:t>
      </w:r>
      <w:r w:rsidRPr="00F82B57">
        <w:rPr>
          <w:lang w:val="en-US" w:eastAsia="de-DE"/>
        </w:rPr>
        <w:t xml:space="preserve">O </w:t>
      </w:r>
      <w:r w:rsidR="00F82B57">
        <w:rPr>
          <w:lang w:val="en-US" w:eastAsia="de-DE"/>
        </w:rPr>
        <w:t>(l</w:t>
      </w:r>
      <w:proofErr w:type="gramStart"/>
      <w:r w:rsidR="00F82B57">
        <w:rPr>
          <w:lang w:val="en-US" w:eastAsia="de-DE"/>
        </w:rPr>
        <w:t>)</w:t>
      </w:r>
      <w:r w:rsidRPr="00F82B57">
        <w:rPr>
          <w:lang w:val="en-US" w:eastAsia="de-DE"/>
        </w:rPr>
        <w:t xml:space="preserve">  </w:t>
      </w:r>
      <w:r w:rsidRPr="00F82B57">
        <w:rPr>
          <w:rFonts w:ascii="Cambria Math" w:hAnsi="Cambria Math" w:cs="Cambria Math"/>
          <w:lang w:val="en-US" w:eastAsia="de-DE"/>
        </w:rPr>
        <w:t>⇌</w:t>
      </w:r>
      <w:proofErr w:type="gramEnd"/>
      <w:r w:rsidRPr="00F82B57">
        <w:rPr>
          <w:lang w:val="en-US" w:eastAsia="de-DE"/>
        </w:rPr>
        <w:t xml:space="preserve">  Ca</w:t>
      </w:r>
      <w:r w:rsidRPr="00F82B57">
        <w:rPr>
          <w:vertAlign w:val="superscript"/>
          <w:lang w:val="en-US" w:eastAsia="de-DE"/>
        </w:rPr>
        <w:t>2+</w:t>
      </w:r>
      <w:r w:rsidRPr="00F82B57">
        <w:rPr>
          <w:lang w:val="en-US" w:eastAsia="de-DE"/>
        </w:rPr>
        <w:t xml:space="preserve"> </w:t>
      </w:r>
      <w:r w:rsidR="00F82B57">
        <w:rPr>
          <w:lang w:val="en-US" w:eastAsia="de-DE"/>
        </w:rPr>
        <w:t>(</w:t>
      </w:r>
      <w:proofErr w:type="spellStart"/>
      <w:r w:rsidR="00F82B57">
        <w:rPr>
          <w:lang w:val="en-US" w:eastAsia="de-DE"/>
        </w:rPr>
        <w:t>aq</w:t>
      </w:r>
      <w:proofErr w:type="spellEnd"/>
      <w:r w:rsidR="00F82B57">
        <w:rPr>
          <w:lang w:val="en-US" w:eastAsia="de-DE"/>
        </w:rPr>
        <w:t xml:space="preserve">) </w:t>
      </w:r>
      <w:r w:rsidRPr="00F82B57">
        <w:rPr>
          <w:lang w:val="en-US" w:eastAsia="de-DE"/>
        </w:rPr>
        <w:t>+ 2 HCO</w:t>
      </w:r>
      <w:r w:rsidRPr="00F82B57">
        <w:rPr>
          <w:vertAlign w:val="subscript"/>
          <w:lang w:val="en-US" w:eastAsia="de-DE"/>
        </w:rPr>
        <w:t>3</w:t>
      </w:r>
      <w:r w:rsidRPr="00F82B57">
        <w:rPr>
          <w:vertAlign w:val="superscript"/>
          <w:lang w:val="en-US" w:eastAsia="de-DE"/>
        </w:rPr>
        <w:t>-</w:t>
      </w:r>
      <w:r w:rsidR="00F82B57">
        <w:rPr>
          <w:lang w:val="en-US" w:eastAsia="de-DE"/>
        </w:rPr>
        <w:t xml:space="preserve"> (</w:t>
      </w:r>
      <w:proofErr w:type="spellStart"/>
      <w:r w:rsidR="00F82B57">
        <w:rPr>
          <w:lang w:val="en-US" w:eastAsia="de-DE"/>
        </w:rPr>
        <w:t>aq</w:t>
      </w:r>
      <w:proofErr w:type="spellEnd"/>
      <w:r w:rsidR="00F82B57">
        <w:rPr>
          <w:lang w:val="en-US" w:eastAsia="de-DE"/>
        </w:rPr>
        <w:t>)</w:t>
      </w:r>
    </w:p>
    <w:p w14:paraId="626A8CF6" w14:textId="5E3826A8" w:rsidR="00E820A7" w:rsidRDefault="00E820A7" w:rsidP="00E820A7">
      <w:pPr>
        <w:rPr>
          <w:lang w:eastAsia="de-DE"/>
        </w:rPr>
      </w:pPr>
      <w:r>
        <w:rPr>
          <w:lang w:eastAsia="de-DE"/>
        </w:rPr>
        <w:t>widerspiegelt. Die Hinreaktion kann - dem Prinzip von Le Chatelier entsprechend - durch eine erhöhte CO</w:t>
      </w:r>
      <w:r w:rsidRPr="00F92F80">
        <w:rPr>
          <w:vertAlign w:val="subscript"/>
          <w:lang w:eastAsia="de-DE"/>
        </w:rPr>
        <w:t>2</w:t>
      </w:r>
      <w:r>
        <w:rPr>
          <w:lang w:eastAsia="de-DE"/>
        </w:rPr>
        <w:t>-Konzentration im einwirkenden Wasser gefördert werden. Dies ist auch der Grund dafür, dass unterirdische CaCO</w:t>
      </w:r>
      <w:r w:rsidRPr="00F92F80">
        <w:rPr>
          <w:vertAlign w:val="subscript"/>
          <w:lang w:eastAsia="de-DE"/>
        </w:rPr>
        <w:t>3</w:t>
      </w:r>
      <w:r>
        <w:rPr>
          <w:lang w:eastAsia="de-DE"/>
        </w:rPr>
        <w:t>-Vorkommen bei entsprechenden Niederschlagsmengen deutlich schneller verwittern als CaCO</w:t>
      </w:r>
      <w:r w:rsidRPr="00F92F80">
        <w:rPr>
          <w:vertAlign w:val="subscript"/>
          <w:lang w:eastAsia="de-DE"/>
        </w:rPr>
        <w:t>3</w:t>
      </w:r>
      <w:r>
        <w:rPr>
          <w:lang w:eastAsia="de-DE"/>
        </w:rPr>
        <w:t>-Vorkommen, die sich an der Erdoberfläche befinden. Um die Zusammenhänge des Kalkkreislaufs zu erfassen, müssen die Schüler, wenn man vom Kalk ausgeht, die folgenden gedanklichen Schritte durchlaufen:</w:t>
      </w:r>
    </w:p>
    <w:p w14:paraId="2CAE9A8D" w14:textId="061B5A1B" w:rsidR="00E820A7" w:rsidRDefault="00E820A7" w:rsidP="00E820A7">
      <w:pPr>
        <w:pStyle w:val="Listenabsatz"/>
        <w:numPr>
          <w:ilvl w:val="0"/>
          <w:numId w:val="37"/>
        </w:numPr>
        <w:rPr>
          <w:lang w:eastAsia="de-DE"/>
        </w:rPr>
      </w:pPr>
      <w:r>
        <w:rPr>
          <w:lang w:eastAsia="de-DE"/>
        </w:rPr>
        <w:t>Kalk ist schwer wasserlöslich, dennoch lösen sich kalkhaltige Gesteine mit der Zeit vermeintlich in Wasser auf.</w:t>
      </w:r>
    </w:p>
    <w:p w14:paraId="416BDD41" w14:textId="11C2F48E" w:rsidR="00E820A7" w:rsidRDefault="00E820A7" w:rsidP="00E820A7">
      <w:pPr>
        <w:pStyle w:val="Listenabsatz"/>
        <w:numPr>
          <w:ilvl w:val="0"/>
          <w:numId w:val="37"/>
        </w:numPr>
        <w:rPr>
          <w:lang w:eastAsia="de-DE"/>
        </w:rPr>
      </w:pPr>
      <w:r>
        <w:rPr>
          <w:lang w:eastAsia="de-DE"/>
        </w:rPr>
        <w:t>Dafür verantwortlich ist die Bildung von gut wasserlöslichem Calciumhydrogencarbonat durch Einwirkung von Kohlenstoffdioxid und Wasser auf Kalk.</w:t>
      </w:r>
    </w:p>
    <w:p w14:paraId="6213CBC5" w14:textId="5CB3F060" w:rsidR="00E820A7" w:rsidRDefault="00E820A7" w:rsidP="00E820A7">
      <w:pPr>
        <w:pStyle w:val="Listenabsatz"/>
        <w:numPr>
          <w:ilvl w:val="0"/>
          <w:numId w:val="37"/>
        </w:numPr>
        <w:rPr>
          <w:lang w:eastAsia="de-DE"/>
        </w:rPr>
      </w:pPr>
      <w:r>
        <w:rPr>
          <w:lang w:eastAsia="de-DE"/>
        </w:rPr>
        <w:t>Die Reaktion von Kalk zu gelöstem Calciumhydrogencarbonat wird als Gleichgewichtsreaktion betrachtet, die sich durch eine Veränderung der CO</w:t>
      </w:r>
      <w:r w:rsidRPr="00F92F80">
        <w:rPr>
          <w:vertAlign w:val="subscript"/>
          <w:lang w:eastAsia="de-DE"/>
        </w:rPr>
        <w:t>2</w:t>
      </w:r>
      <w:r>
        <w:rPr>
          <w:lang w:eastAsia="de-DE"/>
        </w:rPr>
        <w:t xml:space="preserve">-Konzentration beeinflussen lässt. Die </w:t>
      </w:r>
      <w:r w:rsidR="00F92F80">
        <w:rPr>
          <w:lang w:eastAsia="de-DE"/>
        </w:rPr>
        <w:t xml:space="preserve">Lernenden haben </w:t>
      </w:r>
      <w:r>
        <w:rPr>
          <w:lang w:eastAsia="de-DE"/>
        </w:rPr>
        <w:t>die Beeinflussung des HCO</w:t>
      </w:r>
      <w:r w:rsidRPr="00F92F80">
        <w:rPr>
          <w:vertAlign w:val="subscript"/>
          <w:lang w:eastAsia="de-DE"/>
        </w:rPr>
        <w:t>3</w:t>
      </w:r>
      <w:r>
        <w:rPr>
          <w:lang w:eastAsia="de-DE"/>
        </w:rPr>
        <w:t>-/CO3</w:t>
      </w:r>
      <w:r w:rsidRPr="00F92F80">
        <w:rPr>
          <w:vertAlign w:val="subscript"/>
          <w:lang w:eastAsia="de-DE"/>
        </w:rPr>
        <w:t>2</w:t>
      </w:r>
      <w:r w:rsidRPr="00F92F80">
        <w:rPr>
          <w:vertAlign w:val="superscript"/>
          <w:lang w:eastAsia="de-DE"/>
        </w:rPr>
        <w:t>-</w:t>
      </w:r>
      <w:r>
        <w:rPr>
          <w:lang w:eastAsia="de-DE"/>
        </w:rPr>
        <w:t>-Gleichgewichts durch CO</w:t>
      </w:r>
      <w:r w:rsidRPr="00F92F80">
        <w:rPr>
          <w:vertAlign w:val="subscript"/>
          <w:lang w:eastAsia="de-DE"/>
        </w:rPr>
        <w:t>2</w:t>
      </w:r>
      <w:r>
        <w:rPr>
          <w:lang w:eastAsia="de-DE"/>
        </w:rPr>
        <w:t xml:space="preserve"> </w:t>
      </w:r>
      <w:r w:rsidR="00F92F80">
        <w:rPr>
          <w:lang w:eastAsia="de-DE"/>
        </w:rPr>
        <w:t xml:space="preserve">idealerweise </w:t>
      </w:r>
      <w:r>
        <w:rPr>
          <w:lang w:eastAsia="de-DE"/>
        </w:rPr>
        <w:t>schon bei der Thematisierung des Solvay-Verfahrens kennengelernt.</w:t>
      </w:r>
    </w:p>
    <w:p w14:paraId="2C7D3782" w14:textId="1B100822" w:rsidR="00E820A7" w:rsidRDefault="00E820A7" w:rsidP="00E820A7">
      <w:pPr>
        <w:pStyle w:val="Listenabsatz"/>
        <w:numPr>
          <w:ilvl w:val="0"/>
          <w:numId w:val="37"/>
        </w:numPr>
        <w:rPr>
          <w:lang w:eastAsia="de-DE"/>
        </w:rPr>
      </w:pPr>
      <w:r>
        <w:rPr>
          <w:lang w:eastAsia="de-DE"/>
        </w:rPr>
        <w:t>Das Gleichgewicht zwischen Calciumcarbonat und Calciumhydrogencarbonat lässt sich wieder auf die Seite des Calciumcarbonats verschieben, wenn Kohlenstoffdioxid aus der Lösung entweicht.</w:t>
      </w:r>
    </w:p>
    <w:p w14:paraId="5AC74221" w14:textId="23772FDA" w:rsidR="00E820A7" w:rsidRDefault="00E820A7" w:rsidP="00E820A7">
      <w:pPr>
        <w:pStyle w:val="Listenabsatz"/>
        <w:numPr>
          <w:ilvl w:val="0"/>
          <w:numId w:val="37"/>
        </w:numPr>
        <w:rPr>
          <w:lang w:eastAsia="de-DE"/>
        </w:rPr>
      </w:pPr>
      <w:r>
        <w:rPr>
          <w:lang w:eastAsia="de-DE"/>
        </w:rPr>
        <w:t>Die Lage des Gleichgewichts ist damit insgesamt abhängig von der Kohlenstoffdioxidkonzentration im Wasser.</w:t>
      </w:r>
    </w:p>
    <w:p w14:paraId="2940C5E7" w14:textId="77777777" w:rsidR="00E820A7" w:rsidRDefault="00E820A7" w:rsidP="00E820A7">
      <w:pPr>
        <w:rPr>
          <w:lang w:eastAsia="de-DE"/>
        </w:rPr>
      </w:pPr>
      <w:r>
        <w:rPr>
          <w:lang w:eastAsia="de-DE"/>
        </w:rPr>
        <w:t>Es läge nahe, die Schüler alle fünf Schritte direkt zusammen an den chemischen Abläufen in einer Tropfsteinhöhle erarbeiten zu lassen. Die Sachzusammenhänge sind aber komplex und werden in zwei Phasen unterteilt, an die sich dann eine abschließende Gesamtreflexion anschließt:</w:t>
      </w:r>
    </w:p>
    <w:p w14:paraId="34F5078F" w14:textId="2853D248" w:rsidR="00E820A7" w:rsidRDefault="00E820A7" w:rsidP="00E820A7">
      <w:pPr>
        <w:ind w:left="708"/>
        <w:rPr>
          <w:lang w:eastAsia="de-DE"/>
        </w:rPr>
      </w:pPr>
      <w:r>
        <w:rPr>
          <w:lang w:eastAsia="de-DE"/>
        </w:rPr>
        <w:t>Phase 1: Umwandlung von Kalk zu Calciumhydrogencarbonat im Boden (Schritte 1 bis 3)</w:t>
      </w:r>
    </w:p>
    <w:p w14:paraId="372FCE38" w14:textId="32B6DFAF" w:rsidR="00E820A7" w:rsidRDefault="00E820A7" w:rsidP="00E820A7">
      <w:pPr>
        <w:ind w:left="708"/>
        <w:rPr>
          <w:lang w:eastAsia="de-DE"/>
        </w:rPr>
      </w:pPr>
      <w:r>
        <w:rPr>
          <w:lang w:eastAsia="de-DE"/>
        </w:rPr>
        <w:t>Phase 2: Bildung von Kalk aus Calciumhydrogencarbonat zunächst in Tropfsteinhöhle, dann in anderem Kontext, wie z.B. am Boden von Wasserkochern (Schritte 4 und 5)</w:t>
      </w:r>
    </w:p>
    <w:p w14:paraId="1CA76E5D" w14:textId="400708F2" w:rsidR="00E820A7" w:rsidRPr="00E820A7" w:rsidRDefault="00E820A7" w:rsidP="00E820A7">
      <w:pPr>
        <w:rPr>
          <w:lang w:eastAsia="de-DE"/>
        </w:rPr>
      </w:pPr>
      <w:r>
        <w:rPr>
          <w:lang w:eastAsia="de-DE"/>
        </w:rPr>
        <w:t>Die Lernaufgabe befasst sich daher zunächst mit der ersten Phase inklusive einer Betrachtung auf Teilchenebene.</w:t>
      </w:r>
    </w:p>
    <w:p w14:paraId="623699B5" w14:textId="10523424" w:rsidR="000D36A8" w:rsidRDefault="000D36A8" w:rsidP="00C50C31">
      <w:pPr>
        <w:pStyle w:val="berschrift1"/>
        <w:rPr>
          <w:rFonts w:eastAsia="Times New Roman" w:cs="Calibri"/>
          <w:szCs w:val="28"/>
          <w:lang w:eastAsia="de-DE"/>
        </w:rPr>
      </w:pPr>
      <w:r w:rsidRPr="000D36A8">
        <w:rPr>
          <w:rFonts w:eastAsia="Times New Roman" w:cs="Calibri"/>
          <w:szCs w:val="28"/>
          <w:lang w:eastAsia="de-DE"/>
        </w:rPr>
        <w:t>Möglicher Ablauf</w:t>
      </w:r>
    </w:p>
    <w:p w14:paraId="76729D90" w14:textId="2CB01A03" w:rsidR="00F22FE5" w:rsidRDefault="000D36A8" w:rsidP="00F90770">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Problemstellung entdecken und Vorstellungen entwickeln</w:t>
      </w:r>
    </w:p>
    <w:p w14:paraId="4F7DB037" w14:textId="41E29C48" w:rsidR="00E820A7" w:rsidRDefault="00E820A7" w:rsidP="00E820A7">
      <w:pPr>
        <w:ind w:left="360"/>
      </w:pPr>
      <w:r>
        <w:t>D</w:t>
      </w:r>
      <w:r w:rsidRPr="009C17AA">
        <w:t xml:space="preserve">ie Abbildung einer durch Kraterbildung </w:t>
      </w:r>
      <w:r w:rsidR="00F92F80">
        <w:t xml:space="preserve">zerfurchten Karstlandschaft </w:t>
      </w:r>
      <w:r>
        <w:t>dient zur Entwicklung von Fragen</w:t>
      </w:r>
      <w:r w:rsidRPr="009C17AA">
        <w:t>. Die Kraterbildung basiert auf dem Einsturz einer sogenannten Doline u. a. als Folge der Verwitterung von Kalk</w:t>
      </w:r>
      <w:r>
        <w:t xml:space="preserve"> aus dem Untergrund.</w:t>
      </w:r>
    </w:p>
    <w:p w14:paraId="23DDFDC8" w14:textId="6E7361A1" w:rsidR="00E820A7" w:rsidRPr="009C17AA" w:rsidRDefault="00E820A7" w:rsidP="00E820A7">
      <w:pPr>
        <w:ind w:left="360"/>
      </w:pPr>
      <w:r w:rsidRPr="009C17AA">
        <w:lastRenderedPageBreak/>
        <w:t xml:space="preserve">Eine endgültige Kanalisierung der Beiträge </w:t>
      </w:r>
      <w:r w:rsidR="00F92F80">
        <w:t xml:space="preserve">kann durch </w:t>
      </w:r>
      <w:r w:rsidRPr="009C17AA">
        <w:t>weitere Abbildungen (</w:t>
      </w:r>
      <w:r>
        <w:t xml:space="preserve">z. B. </w:t>
      </w:r>
      <w:r w:rsidRPr="009C17AA">
        <w:t xml:space="preserve">Bodenprofil mit sichtbarem Kalkgestein und versickerndem Regenwasser </w:t>
      </w:r>
      <w:r w:rsidR="00F92F80">
        <w:t xml:space="preserve">vs. </w:t>
      </w:r>
      <w:r w:rsidRPr="009C17AA">
        <w:t>Brunnen-Kalkfiguren im ständigen Wasserfluss)</w:t>
      </w:r>
      <w:r w:rsidR="00F92F80">
        <w:t xml:space="preserve"> erfolgen</w:t>
      </w:r>
      <w:r w:rsidRPr="009C17AA">
        <w:t xml:space="preserve">. Durch diese Abbildungen wird das zu klärende Problem deutlich </w:t>
      </w:r>
      <w:r>
        <w:t>ge</w:t>
      </w:r>
      <w:r w:rsidRPr="009C17AA">
        <w:t>macht. In dem einen Fall (Doline) scheint Kalk durch Einwirkung von Wasser „weggewaschen“ worden zu sein, in dem anderen Fall (Brunnen) ist Kalk gegenüber Wasser resistent. Die resultierende Frage „Wie kommt das Loch in den Kalkboden?“ stellt einen Zwischenstand der Problematisierung dar.</w:t>
      </w:r>
    </w:p>
    <w:p w14:paraId="7AE2ABF8" w14:textId="165DA64B" w:rsidR="00E820A7" w:rsidRPr="00E820A7" w:rsidRDefault="00E820A7" w:rsidP="00E820A7">
      <w:pPr>
        <w:ind w:left="360"/>
      </w:pPr>
      <w:r>
        <w:rPr>
          <w:b/>
        </w:rPr>
        <w:t>Z</w:t>
      </w:r>
      <w:r w:rsidRPr="0013589D">
        <w:rPr>
          <w:b/>
        </w:rPr>
        <w:t>entraler Arbeitsauftrag:</w:t>
      </w:r>
      <w:r>
        <w:t xml:space="preserve"> prüfe</w:t>
      </w:r>
      <w:r w:rsidRPr="009C17AA">
        <w:t xml:space="preserve"> experimentell </w:t>
      </w:r>
      <w:r>
        <w:t>die aufgestellte</w:t>
      </w:r>
      <w:r w:rsidRPr="009C17AA">
        <w:t xml:space="preserve"> Hypothese und </w:t>
      </w:r>
      <w:r>
        <w:t xml:space="preserve">stelle </w:t>
      </w:r>
      <w:r w:rsidRPr="009C17AA">
        <w:t>die Ergebnisse der Prüfung ggf. auch in Form von R</w:t>
      </w:r>
      <w:r>
        <w:t>eaktionsgleichungen vor</w:t>
      </w:r>
      <w:r w:rsidRPr="009C17AA">
        <w:t>.</w:t>
      </w:r>
    </w:p>
    <w:p w14:paraId="1CA0596D" w14:textId="09A48076" w:rsidR="00F90770" w:rsidRDefault="000D36A8" w:rsidP="00F90770">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Lernmaterial bearbeiten / Lernprodukt erstellen</w:t>
      </w:r>
    </w:p>
    <w:p w14:paraId="7D7D4E72" w14:textId="39D0104C" w:rsidR="00E820A7" w:rsidRPr="009C17AA" w:rsidRDefault="00E820A7" w:rsidP="00E820A7">
      <w:pPr>
        <w:ind w:left="360"/>
      </w:pPr>
      <w:r w:rsidRPr="009C17AA">
        <w:t xml:space="preserve">Vor der Erarbeitung </w:t>
      </w:r>
      <w:r w:rsidR="00584EF4">
        <w:t xml:space="preserve">sollte man </w:t>
      </w:r>
      <w:r w:rsidRPr="009C17AA">
        <w:t xml:space="preserve">die Sinnhaftigkeit des Vorversuches </w:t>
      </w:r>
      <w:r w:rsidR="00F92F80">
        <w:t xml:space="preserve">V1 </w:t>
      </w:r>
      <w:r w:rsidRPr="009C17AA">
        <w:t>und die minimal (A</w:t>
      </w:r>
      <w:r w:rsidR="00F92F80">
        <w:t>1</w:t>
      </w:r>
      <w:r w:rsidRPr="009C17AA">
        <w:t xml:space="preserve"> </w:t>
      </w:r>
      <w:r w:rsidR="00F92F80">
        <w:t xml:space="preserve">bis </w:t>
      </w:r>
      <w:r w:rsidRPr="009C17AA">
        <w:t>A</w:t>
      </w:r>
      <w:r w:rsidR="00F92F80">
        <w:t>4</w:t>
      </w:r>
      <w:r w:rsidRPr="009C17AA">
        <w:t>a) bzw. maximal (A4</w:t>
      </w:r>
      <w:r w:rsidR="00F92F80">
        <w:t>b, Aufgaben zu M3</w:t>
      </w:r>
      <w:r w:rsidRPr="009C17AA">
        <w:t>) zu erfüllenden Arbeitsaufträge klären.</w:t>
      </w:r>
    </w:p>
    <w:p w14:paraId="6F9FEDCC" w14:textId="77777777" w:rsidR="00E57E71" w:rsidRDefault="00E820A7" w:rsidP="00E820A7">
      <w:pPr>
        <w:ind w:left="360"/>
        <w:rPr>
          <w:noProof/>
          <w:lang w:eastAsia="de-DE"/>
        </w:rPr>
      </w:pPr>
      <w:r>
        <w:t>D</w:t>
      </w:r>
      <w:r w:rsidRPr="009C17AA">
        <w:t xml:space="preserve">ie Lernenden </w:t>
      </w:r>
      <w:r>
        <w:t xml:space="preserve">können </w:t>
      </w:r>
      <w:r w:rsidRPr="009C17AA">
        <w:t xml:space="preserve">mit Hilfe der Materialien nachweisen, dass Kalk unter Einfluss von Wasser und Kohlenstoffdioxid zu einem gut wasserlöslichen Stoff reagiert. Eine gleichzeitige Beobachtung der Veränderung des pH-Wertes </w:t>
      </w:r>
      <w:r>
        <w:t xml:space="preserve">erscheint dabei </w:t>
      </w:r>
      <w:r w:rsidR="00F92F80">
        <w:t xml:space="preserve">für tiefergehende Betrachtungen </w:t>
      </w:r>
      <w:r>
        <w:t>sinnvoll.</w:t>
      </w:r>
      <w:r w:rsidRPr="00253863">
        <w:rPr>
          <w:noProof/>
          <w:lang w:eastAsia="de-DE"/>
        </w:rPr>
        <w:t xml:space="preserve"> </w:t>
      </w:r>
      <w:r w:rsidR="00F92F80">
        <w:rPr>
          <w:noProof/>
          <w:lang w:eastAsia="de-DE"/>
        </w:rPr>
        <w:t xml:space="preserve">Es muss aber später geklärt werden, dass </w:t>
      </w:r>
      <w:r w:rsidR="00E57E71">
        <w:rPr>
          <w:noProof/>
          <w:lang w:eastAsia="de-DE"/>
        </w:rPr>
        <w:t xml:space="preserve">im gewählten Kontext </w:t>
      </w:r>
      <w:r w:rsidR="00F92F80">
        <w:rPr>
          <w:noProof/>
          <w:lang w:eastAsia="de-DE"/>
        </w:rPr>
        <w:t>Kalk als Feststoff im Gestein bereits vorlag</w:t>
      </w:r>
      <w:r w:rsidR="00E57E71">
        <w:rPr>
          <w:noProof/>
          <w:lang w:eastAsia="de-DE"/>
        </w:rPr>
        <w:t>, wie ihn hingegen fein verteilt hergestellt haben</w:t>
      </w:r>
      <w:r w:rsidR="00F92F80">
        <w:rPr>
          <w:noProof/>
          <w:lang w:eastAsia="de-DE"/>
        </w:rPr>
        <w:t xml:space="preserve">. </w:t>
      </w:r>
    </w:p>
    <w:p w14:paraId="28565C14" w14:textId="7D3EF259" w:rsidR="00E820A7" w:rsidRPr="009C17AA" w:rsidRDefault="00E820A7" w:rsidP="00E820A7">
      <w:pPr>
        <w:ind w:left="360"/>
      </w:pPr>
      <w:r w:rsidRPr="009C17AA">
        <w:t xml:space="preserve">Mit dem Experiment wird streng genommen nicht </w:t>
      </w:r>
      <w:r w:rsidR="00E57E71">
        <w:t>gezeigt</w:t>
      </w:r>
      <w:r w:rsidRPr="009C17AA">
        <w:t xml:space="preserve">, welches Reaktionsprodukt dabei entsteht, da keine Hydrogencarbonat-Ionen nachgewiesen werden. Um eine Auswertung </w:t>
      </w:r>
      <w:r w:rsidR="00E57E71">
        <w:t>zu ermöglichen</w:t>
      </w:r>
      <w:r w:rsidRPr="009C17AA">
        <w:t xml:space="preserve">, </w:t>
      </w:r>
      <w:r>
        <w:t xml:space="preserve">ist das </w:t>
      </w:r>
      <w:r w:rsidRPr="009C17AA">
        <w:t xml:space="preserve">entstandene Produkt </w:t>
      </w:r>
      <w:r w:rsidR="00E57E71">
        <w:t xml:space="preserve">an mehreren Stellen </w:t>
      </w:r>
      <w:r w:rsidRPr="009C17AA">
        <w:t>vor</w:t>
      </w:r>
      <w:r>
        <w:t>gegeben</w:t>
      </w:r>
      <w:r w:rsidRPr="009C17AA">
        <w:t xml:space="preserve"> (</w:t>
      </w:r>
      <w:r>
        <w:t>M</w:t>
      </w:r>
      <w:r w:rsidR="00E57E71">
        <w:t>1, M</w:t>
      </w:r>
      <w:r w:rsidRPr="009C17AA">
        <w:t>3).</w:t>
      </w:r>
    </w:p>
    <w:p w14:paraId="3FDB8185" w14:textId="2055A05D" w:rsidR="00E820A7" w:rsidRPr="00E820A7" w:rsidRDefault="00E820A7" w:rsidP="00E820A7">
      <w:pPr>
        <w:spacing w:before="240" w:after="0" w:line="252" w:lineRule="auto"/>
        <w:ind w:left="360"/>
        <w:rPr>
          <w:rStyle w:val="IntensiveHervorhebung"/>
          <w:b/>
          <w:bCs/>
          <w:i w:val="0"/>
          <w:iCs w:val="0"/>
          <w:color w:val="auto"/>
        </w:rPr>
      </w:pPr>
      <w:r w:rsidRPr="00E820A7">
        <w:rPr>
          <w:rStyle w:val="IntensiveHervorhebung"/>
          <w:b/>
          <w:bCs/>
          <w:i w:val="0"/>
          <w:iCs w:val="0"/>
          <w:color w:val="auto"/>
        </w:rPr>
        <w:t>Hinweise zu</w:t>
      </w:r>
      <w:r w:rsidR="00F92F80">
        <w:rPr>
          <w:rStyle w:val="IntensiveHervorhebung"/>
          <w:b/>
          <w:bCs/>
          <w:i w:val="0"/>
          <w:iCs w:val="0"/>
          <w:color w:val="auto"/>
        </w:rPr>
        <w:t xml:space="preserve"> den</w:t>
      </w:r>
      <w:r w:rsidRPr="00E820A7">
        <w:rPr>
          <w:rStyle w:val="IntensiveHervorhebung"/>
          <w:b/>
          <w:bCs/>
          <w:i w:val="0"/>
          <w:iCs w:val="0"/>
          <w:color w:val="auto"/>
        </w:rPr>
        <w:t xml:space="preserve"> Experiment</w:t>
      </w:r>
      <w:r w:rsidR="00F92F80">
        <w:rPr>
          <w:rStyle w:val="IntensiveHervorhebung"/>
          <w:b/>
          <w:bCs/>
          <w:i w:val="0"/>
          <w:iCs w:val="0"/>
          <w:color w:val="auto"/>
        </w:rPr>
        <w:t>en</w:t>
      </w:r>
      <w:r w:rsidRPr="00E820A7">
        <w:rPr>
          <w:rStyle w:val="IntensiveHervorhebung"/>
          <w:b/>
          <w:bCs/>
          <w:i w:val="0"/>
          <w:iCs w:val="0"/>
          <w:color w:val="auto"/>
        </w:rPr>
        <w:t xml:space="preserve"> </w:t>
      </w:r>
      <w:r w:rsidR="00F92F80">
        <w:rPr>
          <w:rStyle w:val="IntensiveHervorhebung"/>
          <w:b/>
          <w:bCs/>
          <w:i w:val="0"/>
          <w:iCs w:val="0"/>
          <w:color w:val="auto"/>
        </w:rPr>
        <w:t xml:space="preserve">V1/V2 </w:t>
      </w:r>
      <w:r w:rsidRPr="00E820A7">
        <w:rPr>
          <w:rStyle w:val="IntensiveHervorhebung"/>
          <w:b/>
          <w:bCs/>
          <w:i w:val="0"/>
          <w:iCs w:val="0"/>
          <w:color w:val="auto"/>
        </w:rPr>
        <w:t>für Lehrende</w:t>
      </w:r>
    </w:p>
    <w:p w14:paraId="630497BE" w14:textId="6E9FCA82" w:rsidR="00E820A7" w:rsidRPr="00103FFD" w:rsidRDefault="00584EF4" w:rsidP="00E820A7">
      <w:pPr>
        <w:spacing w:after="0" w:line="252" w:lineRule="auto"/>
        <w:ind w:left="360"/>
      </w:pPr>
      <w:r>
        <w:t xml:space="preserve">Im offenen Reagenzglas erkennt man nach Zugabe von 20–40 mL </w:t>
      </w:r>
      <w:r w:rsidRPr="00103FFD">
        <w:t>Kohlenstoffdioxid</w:t>
      </w:r>
      <w:r w:rsidR="00E820A7" w:rsidRPr="00103FFD">
        <w:t xml:space="preserve">, </w:t>
      </w:r>
      <w:r>
        <w:t xml:space="preserve">dass </w:t>
      </w:r>
      <w:r w:rsidR="00E820A7" w:rsidRPr="00103FFD">
        <w:t xml:space="preserve">sich fein verteilter Kalk bildet. </w:t>
      </w:r>
      <w:r>
        <w:t xml:space="preserve">Ab da wird in </w:t>
      </w:r>
      <w:r w:rsidR="00E820A7" w:rsidRPr="00103FFD">
        <w:t xml:space="preserve">20mL </w:t>
      </w:r>
      <w:r>
        <w:t xml:space="preserve">Schritten </w:t>
      </w:r>
      <w:r w:rsidR="00E820A7" w:rsidRPr="00103FFD">
        <w:t>Kohlenstoffdioxid durch die Lösung gesprudelt.</w:t>
      </w:r>
    </w:p>
    <w:tbl>
      <w:tblPr>
        <w:tblStyle w:val="Tabellenraster"/>
        <w:tblW w:w="938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6"/>
        <w:gridCol w:w="2346"/>
        <w:gridCol w:w="2346"/>
        <w:gridCol w:w="2346"/>
      </w:tblGrid>
      <w:tr w:rsidR="00E820A7" w14:paraId="3BA172C9" w14:textId="77777777" w:rsidTr="00E820A7">
        <w:tc>
          <w:tcPr>
            <w:tcW w:w="2346" w:type="dxa"/>
          </w:tcPr>
          <w:p w14:paraId="423E385A" w14:textId="77777777" w:rsidR="00E820A7" w:rsidRDefault="00E820A7" w:rsidP="005D75A6">
            <w:pPr>
              <w:tabs>
                <w:tab w:val="left" w:pos="2977"/>
                <w:tab w:val="left" w:pos="5812"/>
              </w:tabs>
              <w:rPr>
                <w:rFonts w:ascii="Arial Narrow" w:hAnsi="Arial Narrow"/>
                <w:sz w:val="24"/>
                <w:szCs w:val="24"/>
              </w:rPr>
            </w:pPr>
            <w:r w:rsidRPr="002972C9">
              <w:rPr>
                <w:rFonts w:ascii="Arial Narrow" w:hAnsi="Arial Narrow"/>
                <w:noProof/>
                <w:sz w:val="24"/>
                <w:szCs w:val="24"/>
              </w:rPr>
              <w:drawing>
                <wp:inline distT="0" distB="0" distL="0" distR="0" wp14:anchorId="749D9451" wp14:editId="3F2B8F4E">
                  <wp:extent cx="1350000" cy="1800000"/>
                  <wp:effectExtent l="0" t="0" r="3175" b="0"/>
                  <wp:docPr id="93" name="Grafi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_20170112_1345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0000" cy="1800000"/>
                          </a:xfrm>
                          <a:prstGeom prst="rect">
                            <a:avLst/>
                          </a:prstGeom>
                        </pic:spPr>
                      </pic:pic>
                    </a:graphicData>
                  </a:graphic>
                </wp:inline>
              </w:drawing>
            </w:r>
          </w:p>
        </w:tc>
        <w:tc>
          <w:tcPr>
            <w:tcW w:w="2346" w:type="dxa"/>
          </w:tcPr>
          <w:p w14:paraId="6804B6D9" w14:textId="77777777" w:rsidR="00E820A7" w:rsidRDefault="00E820A7" w:rsidP="005D75A6">
            <w:pPr>
              <w:tabs>
                <w:tab w:val="left" w:pos="2977"/>
                <w:tab w:val="left" w:pos="5812"/>
              </w:tabs>
              <w:rPr>
                <w:rFonts w:ascii="Arial Narrow" w:hAnsi="Arial Narrow"/>
                <w:sz w:val="24"/>
                <w:szCs w:val="24"/>
              </w:rPr>
            </w:pPr>
            <w:r w:rsidRPr="002972C9">
              <w:rPr>
                <w:rFonts w:ascii="Arial Narrow" w:hAnsi="Arial Narrow"/>
                <w:noProof/>
                <w:sz w:val="24"/>
                <w:szCs w:val="24"/>
              </w:rPr>
              <w:drawing>
                <wp:inline distT="0" distB="0" distL="0" distR="0" wp14:anchorId="00C6599E" wp14:editId="6FECF7EB">
                  <wp:extent cx="1350000" cy="1800000"/>
                  <wp:effectExtent l="0" t="0" r="3175" b="0"/>
                  <wp:docPr id="95" name="Grafi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G_20170112_13460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0000" cy="1800000"/>
                          </a:xfrm>
                          <a:prstGeom prst="rect">
                            <a:avLst/>
                          </a:prstGeom>
                        </pic:spPr>
                      </pic:pic>
                    </a:graphicData>
                  </a:graphic>
                </wp:inline>
              </w:drawing>
            </w:r>
          </w:p>
        </w:tc>
        <w:tc>
          <w:tcPr>
            <w:tcW w:w="2346" w:type="dxa"/>
          </w:tcPr>
          <w:p w14:paraId="17E7A117" w14:textId="77777777" w:rsidR="00E820A7" w:rsidRDefault="00E820A7" w:rsidP="005D75A6">
            <w:pPr>
              <w:tabs>
                <w:tab w:val="left" w:pos="2977"/>
                <w:tab w:val="left" w:pos="5812"/>
              </w:tabs>
              <w:rPr>
                <w:rFonts w:ascii="Arial Narrow" w:hAnsi="Arial Narrow"/>
                <w:sz w:val="24"/>
                <w:szCs w:val="24"/>
              </w:rPr>
            </w:pPr>
            <w:r w:rsidRPr="002972C9">
              <w:rPr>
                <w:rFonts w:ascii="Arial Narrow" w:hAnsi="Arial Narrow"/>
                <w:noProof/>
              </w:rPr>
              <w:drawing>
                <wp:inline distT="0" distB="0" distL="0" distR="0" wp14:anchorId="5104B950" wp14:editId="5B2A5DD8">
                  <wp:extent cx="1350000" cy="1800000"/>
                  <wp:effectExtent l="0" t="0" r="3175" b="0"/>
                  <wp:docPr id="97" name="Grafi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G_20170112_13464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50000" cy="1800000"/>
                          </a:xfrm>
                          <a:prstGeom prst="rect">
                            <a:avLst/>
                          </a:prstGeom>
                        </pic:spPr>
                      </pic:pic>
                    </a:graphicData>
                  </a:graphic>
                </wp:inline>
              </w:drawing>
            </w:r>
          </w:p>
        </w:tc>
        <w:tc>
          <w:tcPr>
            <w:tcW w:w="2346" w:type="dxa"/>
          </w:tcPr>
          <w:p w14:paraId="2C1BA54E" w14:textId="77777777" w:rsidR="00E820A7" w:rsidRDefault="00E820A7" w:rsidP="005D75A6">
            <w:pPr>
              <w:tabs>
                <w:tab w:val="left" w:pos="2977"/>
                <w:tab w:val="left" w:pos="5812"/>
              </w:tabs>
              <w:rPr>
                <w:rFonts w:ascii="Arial Narrow" w:hAnsi="Arial Narrow"/>
                <w:sz w:val="24"/>
                <w:szCs w:val="24"/>
              </w:rPr>
            </w:pPr>
            <w:r w:rsidRPr="002972C9">
              <w:rPr>
                <w:rFonts w:ascii="Arial Narrow" w:hAnsi="Arial Narrow"/>
                <w:noProof/>
              </w:rPr>
              <w:drawing>
                <wp:inline distT="0" distB="0" distL="0" distR="0" wp14:anchorId="45659605" wp14:editId="501C83D7">
                  <wp:extent cx="1350000" cy="1800000"/>
                  <wp:effectExtent l="0" t="0" r="3175" b="0"/>
                  <wp:docPr id="100" name="Grafik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G_20170112_13484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50000" cy="1800000"/>
                          </a:xfrm>
                          <a:prstGeom prst="rect">
                            <a:avLst/>
                          </a:prstGeom>
                        </pic:spPr>
                      </pic:pic>
                    </a:graphicData>
                  </a:graphic>
                </wp:inline>
              </w:drawing>
            </w:r>
          </w:p>
        </w:tc>
      </w:tr>
      <w:tr w:rsidR="00E820A7" w:rsidRPr="00E57E71" w14:paraId="2128C425" w14:textId="77777777" w:rsidTr="00E820A7">
        <w:tc>
          <w:tcPr>
            <w:tcW w:w="2346" w:type="dxa"/>
          </w:tcPr>
          <w:p w14:paraId="3BBD4D81" w14:textId="77777777" w:rsidR="00E820A7" w:rsidRPr="00E57E71" w:rsidRDefault="00E820A7" w:rsidP="00E820A7">
            <w:pPr>
              <w:tabs>
                <w:tab w:val="left" w:pos="2977"/>
                <w:tab w:val="left" w:pos="5812"/>
              </w:tabs>
              <w:jc w:val="center"/>
              <w:rPr>
                <w:rFonts w:cstheme="minorHAnsi"/>
                <w:sz w:val="16"/>
                <w:szCs w:val="16"/>
              </w:rPr>
            </w:pPr>
            <w:r w:rsidRPr="00E57E71">
              <w:rPr>
                <w:rFonts w:cstheme="minorHAnsi"/>
                <w:sz w:val="16"/>
                <w:szCs w:val="16"/>
              </w:rPr>
              <w:t>Vor Zugabe von CO</w:t>
            </w:r>
            <w:r w:rsidRPr="00E57E71">
              <w:rPr>
                <w:rFonts w:cstheme="minorHAnsi"/>
                <w:sz w:val="16"/>
                <w:szCs w:val="16"/>
                <w:vertAlign w:val="subscript"/>
              </w:rPr>
              <w:t>2</w:t>
            </w:r>
          </w:p>
        </w:tc>
        <w:tc>
          <w:tcPr>
            <w:tcW w:w="2346" w:type="dxa"/>
          </w:tcPr>
          <w:p w14:paraId="68532873" w14:textId="77777777" w:rsidR="00E820A7" w:rsidRPr="00E57E71" w:rsidRDefault="00E820A7" w:rsidP="00E820A7">
            <w:pPr>
              <w:tabs>
                <w:tab w:val="left" w:pos="2977"/>
                <w:tab w:val="left" w:pos="5812"/>
              </w:tabs>
              <w:jc w:val="center"/>
              <w:rPr>
                <w:rFonts w:cstheme="minorHAnsi"/>
                <w:sz w:val="16"/>
                <w:szCs w:val="16"/>
              </w:rPr>
            </w:pPr>
            <w:r w:rsidRPr="00E57E71">
              <w:rPr>
                <w:rFonts w:cstheme="minorHAnsi"/>
                <w:sz w:val="16"/>
                <w:szCs w:val="16"/>
              </w:rPr>
              <w:t>nach Zugabe von 40mL CO</w:t>
            </w:r>
            <w:r w:rsidRPr="00E57E71">
              <w:rPr>
                <w:rFonts w:cstheme="minorHAnsi"/>
                <w:sz w:val="16"/>
                <w:szCs w:val="16"/>
                <w:vertAlign w:val="subscript"/>
              </w:rPr>
              <w:t>2</w:t>
            </w:r>
          </w:p>
        </w:tc>
        <w:tc>
          <w:tcPr>
            <w:tcW w:w="2346" w:type="dxa"/>
          </w:tcPr>
          <w:p w14:paraId="5943B4C5" w14:textId="09F579DF" w:rsidR="00E820A7" w:rsidRPr="00E57E71" w:rsidRDefault="00E820A7" w:rsidP="00E820A7">
            <w:pPr>
              <w:tabs>
                <w:tab w:val="left" w:pos="2977"/>
                <w:tab w:val="left" w:pos="5812"/>
              </w:tabs>
              <w:jc w:val="center"/>
              <w:rPr>
                <w:rFonts w:cstheme="minorHAnsi"/>
                <w:sz w:val="16"/>
                <w:szCs w:val="16"/>
              </w:rPr>
            </w:pPr>
            <w:r w:rsidRPr="00E57E71">
              <w:rPr>
                <w:rFonts w:cstheme="minorHAnsi"/>
                <w:sz w:val="16"/>
                <w:szCs w:val="16"/>
              </w:rPr>
              <w:t>… 80mL</w:t>
            </w:r>
          </w:p>
        </w:tc>
        <w:tc>
          <w:tcPr>
            <w:tcW w:w="2346" w:type="dxa"/>
          </w:tcPr>
          <w:p w14:paraId="157AC01D" w14:textId="77777777" w:rsidR="00E820A7" w:rsidRPr="00E57E71" w:rsidRDefault="00E820A7" w:rsidP="00E820A7">
            <w:pPr>
              <w:tabs>
                <w:tab w:val="left" w:pos="2977"/>
                <w:tab w:val="left" w:pos="5812"/>
              </w:tabs>
              <w:jc w:val="center"/>
              <w:rPr>
                <w:rFonts w:cstheme="minorHAnsi"/>
                <w:sz w:val="16"/>
                <w:szCs w:val="16"/>
              </w:rPr>
            </w:pPr>
            <w:r w:rsidRPr="00E57E71">
              <w:rPr>
                <w:rFonts w:cstheme="minorHAnsi"/>
                <w:sz w:val="16"/>
                <w:szCs w:val="16"/>
              </w:rPr>
              <w:t>… von 140mL CO</w:t>
            </w:r>
            <w:r w:rsidRPr="00E57E71">
              <w:rPr>
                <w:rFonts w:cstheme="minorHAnsi"/>
                <w:sz w:val="16"/>
                <w:szCs w:val="16"/>
                <w:vertAlign w:val="subscript"/>
              </w:rPr>
              <w:t>2</w:t>
            </w:r>
          </w:p>
        </w:tc>
      </w:tr>
    </w:tbl>
    <w:p w14:paraId="33F98E58" w14:textId="0328D56A" w:rsidR="00E820A7" w:rsidRPr="00103FFD" w:rsidRDefault="00E57E71" w:rsidP="00E820A7">
      <w:pPr>
        <w:spacing w:before="120" w:after="0" w:line="252" w:lineRule="auto"/>
        <w:ind w:left="357"/>
      </w:pPr>
      <w:r w:rsidRPr="00103FFD">
        <w:rPr>
          <w:noProof/>
          <w:lang w:eastAsia="de-DE"/>
        </w:rPr>
        <w:drawing>
          <wp:anchor distT="0" distB="0" distL="114300" distR="114300" simplePos="0" relativeHeight="251659264" behindDoc="1" locked="0" layoutInCell="1" allowOverlap="1" wp14:anchorId="57E075A3" wp14:editId="17F9FA3A">
            <wp:simplePos x="0" y="0"/>
            <wp:positionH relativeFrom="margin">
              <wp:posOffset>4714575</wp:posOffset>
            </wp:positionH>
            <wp:positionV relativeFrom="paragraph">
              <wp:posOffset>33658</wp:posOffset>
            </wp:positionV>
            <wp:extent cx="1459865" cy="1365250"/>
            <wp:effectExtent l="0" t="0" r="6985" b="6350"/>
            <wp:wrapTight wrapText="bothSides">
              <wp:wrapPolygon edited="0">
                <wp:start x="0" y="0"/>
                <wp:lineTo x="0" y="21399"/>
                <wp:lineTo x="21421" y="21399"/>
                <wp:lineTo x="21421" y="0"/>
                <wp:lineTo x="0" y="0"/>
              </wp:wrapPolygon>
            </wp:wrapTight>
            <wp:docPr id="101" name="Grafik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20170112_133524.jpg"/>
                    <pic:cNvPicPr/>
                  </pic:nvPicPr>
                  <pic:blipFill rotWithShape="1">
                    <a:blip r:embed="rId12" cstate="print">
                      <a:extLst>
                        <a:ext uri="{28A0092B-C50C-407E-A947-70E740481C1C}">
                          <a14:useLocalDpi xmlns:a14="http://schemas.microsoft.com/office/drawing/2010/main" val="0"/>
                        </a:ext>
                      </a:extLst>
                    </a:blip>
                    <a:srcRect l="27803" t="14150" r="17826" b="18042"/>
                    <a:stretch/>
                  </pic:blipFill>
                  <pic:spPr bwMode="auto">
                    <a:xfrm>
                      <a:off x="0" y="0"/>
                      <a:ext cx="1459865" cy="1365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20A7" w:rsidRPr="00103FFD">
        <w:t>Mit noch geringeren Mengen kommt man im geschlossenen System aus:</w:t>
      </w:r>
    </w:p>
    <w:p w14:paraId="07D683B7" w14:textId="77777777" w:rsidR="00E820A7" w:rsidRPr="00103FFD" w:rsidRDefault="00E820A7" w:rsidP="00E820A7">
      <w:pPr>
        <w:spacing w:before="120" w:after="0" w:line="252" w:lineRule="auto"/>
        <w:ind w:left="357"/>
      </w:pPr>
      <w:r w:rsidRPr="00103FFD">
        <w:t>5mL Calciumhydroxid-Lösung („Kalkwasser“) werden mit 4 Tropfen Universalindikator (Unisol 1-13) versetzt und in eine Kunststoffspritze aufgesaugt. Über einen Dreiwegehahn wird die klare Lösung aus einer weiteren Kunststoffspritze mit 2-3mL Kohlenstoffdioxid versetzt, damit sich fein verteilter Kalk bildet (Bilder 1 und 2).</w:t>
      </w:r>
    </w:p>
    <w:p w14:paraId="4B87AA5E" w14:textId="707C038C" w:rsidR="00E820A7" w:rsidRDefault="00E820A7" w:rsidP="00E820A7">
      <w:pPr>
        <w:spacing w:before="120" w:line="252" w:lineRule="auto"/>
        <w:ind w:left="357"/>
      </w:pPr>
      <w:r w:rsidRPr="00103FFD">
        <w:t>Dann werden nacheinander immer 2-3 mL Kohlenstoffdioxid durch die Lösung gesprudelt und die Spritze am Ende mehrfach geschüttelt bzw. die Lösung zwischen den Spritzen hin</w:t>
      </w:r>
      <w:r>
        <w:t>- und hergeschoben (Bilder 3 - 5</w:t>
      </w:r>
      <w:r w:rsidRPr="00103FFD">
        <w:t>).</w:t>
      </w: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1788"/>
        <w:gridCol w:w="1788"/>
        <w:gridCol w:w="1788"/>
        <w:gridCol w:w="1788"/>
      </w:tblGrid>
      <w:tr w:rsidR="00E820A7" w14:paraId="1F37D57C" w14:textId="77777777" w:rsidTr="00E820A7">
        <w:tc>
          <w:tcPr>
            <w:tcW w:w="1897" w:type="dxa"/>
          </w:tcPr>
          <w:p w14:paraId="508C5D69" w14:textId="25191D43" w:rsidR="00E820A7" w:rsidRDefault="00E820A7" w:rsidP="00E820A7">
            <w:pPr>
              <w:spacing w:after="0" w:line="252" w:lineRule="auto"/>
            </w:pPr>
            <w:r w:rsidRPr="002972C9">
              <w:rPr>
                <w:rFonts w:ascii="Arial Narrow" w:hAnsi="Arial Narrow"/>
                <w:noProof/>
                <w:sz w:val="24"/>
                <w:szCs w:val="24"/>
                <w:lang w:eastAsia="de-DE"/>
              </w:rPr>
              <w:drawing>
                <wp:inline distT="0" distB="0" distL="0" distR="0" wp14:anchorId="4F846443" wp14:editId="25073EC6">
                  <wp:extent cx="1222044" cy="1440000"/>
                  <wp:effectExtent l="0" t="0" r="0" b="8255"/>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0170112_133916.jpg"/>
                          <pic:cNvPicPr/>
                        </pic:nvPicPr>
                        <pic:blipFill rotWithShape="1">
                          <a:blip r:embed="rId13" cstate="print">
                            <a:extLst>
                              <a:ext uri="{28A0092B-C50C-407E-A947-70E740481C1C}">
                                <a14:useLocalDpi xmlns:a14="http://schemas.microsoft.com/office/drawing/2010/main" val="0"/>
                              </a:ext>
                            </a:extLst>
                          </a:blip>
                          <a:srcRect t="8677" b="16598"/>
                          <a:stretch/>
                        </pic:blipFill>
                        <pic:spPr bwMode="auto">
                          <a:xfrm>
                            <a:off x="0" y="0"/>
                            <a:ext cx="1222044" cy="1440000"/>
                          </a:xfrm>
                          <a:prstGeom prst="rect">
                            <a:avLst/>
                          </a:prstGeom>
                          <a:ln>
                            <a:noFill/>
                          </a:ln>
                          <a:extLst>
                            <a:ext uri="{53640926-AAD7-44D8-BBD7-CCE9431645EC}">
                              <a14:shadowObscured xmlns:a14="http://schemas.microsoft.com/office/drawing/2010/main"/>
                            </a:ext>
                          </a:extLst>
                        </pic:spPr>
                      </pic:pic>
                    </a:graphicData>
                  </a:graphic>
                </wp:inline>
              </w:drawing>
            </w:r>
          </w:p>
        </w:tc>
        <w:tc>
          <w:tcPr>
            <w:tcW w:w="1897" w:type="dxa"/>
          </w:tcPr>
          <w:p w14:paraId="33E86C66" w14:textId="25FA0A1E" w:rsidR="00E820A7" w:rsidRDefault="00E820A7" w:rsidP="00E820A7">
            <w:pPr>
              <w:spacing w:after="0" w:line="252" w:lineRule="auto"/>
            </w:pPr>
            <w:r w:rsidRPr="002972C9">
              <w:rPr>
                <w:rFonts w:ascii="Arial Narrow" w:hAnsi="Arial Narrow"/>
                <w:noProof/>
                <w:sz w:val="24"/>
                <w:szCs w:val="24"/>
                <w:lang w:eastAsia="de-DE"/>
              </w:rPr>
              <w:drawing>
                <wp:inline distT="0" distB="0" distL="0" distR="0" wp14:anchorId="0462D6C7" wp14:editId="5ED63468">
                  <wp:extent cx="1083447" cy="1440000"/>
                  <wp:effectExtent l="0" t="0" r="2540" b="8255"/>
                  <wp:docPr id="103" name="Grafik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20170112_134021.jpg"/>
                          <pic:cNvPicPr/>
                        </pic:nvPicPr>
                        <pic:blipFill rotWithShape="1">
                          <a:blip r:embed="rId14" cstate="print">
                            <a:extLst>
                              <a:ext uri="{28A0092B-C50C-407E-A947-70E740481C1C}">
                                <a14:useLocalDpi xmlns:a14="http://schemas.microsoft.com/office/drawing/2010/main" val="0"/>
                              </a:ext>
                            </a:extLst>
                          </a:blip>
                          <a:srcRect l="6871" t="20941" b="7360"/>
                          <a:stretch/>
                        </pic:blipFill>
                        <pic:spPr bwMode="auto">
                          <a:xfrm>
                            <a:off x="0" y="0"/>
                            <a:ext cx="1083447" cy="1440000"/>
                          </a:xfrm>
                          <a:prstGeom prst="rect">
                            <a:avLst/>
                          </a:prstGeom>
                          <a:ln>
                            <a:noFill/>
                          </a:ln>
                          <a:extLst>
                            <a:ext uri="{53640926-AAD7-44D8-BBD7-CCE9431645EC}">
                              <a14:shadowObscured xmlns:a14="http://schemas.microsoft.com/office/drawing/2010/main"/>
                            </a:ext>
                          </a:extLst>
                        </pic:spPr>
                      </pic:pic>
                    </a:graphicData>
                  </a:graphic>
                </wp:inline>
              </w:drawing>
            </w:r>
          </w:p>
        </w:tc>
        <w:tc>
          <w:tcPr>
            <w:tcW w:w="1897" w:type="dxa"/>
          </w:tcPr>
          <w:p w14:paraId="76934411" w14:textId="144BBA56" w:rsidR="00E820A7" w:rsidRDefault="00E820A7" w:rsidP="00E820A7">
            <w:pPr>
              <w:spacing w:after="0" w:line="252" w:lineRule="auto"/>
            </w:pPr>
            <w:r w:rsidRPr="002972C9">
              <w:rPr>
                <w:rFonts w:ascii="Arial Narrow" w:hAnsi="Arial Narrow"/>
                <w:noProof/>
                <w:sz w:val="24"/>
                <w:szCs w:val="24"/>
                <w:lang w:eastAsia="de-DE"/>
              </w:rPr>
              <w:drawing>
                <wp:inline distT="0" distB="0" distL="0" distR="0" wp14:anchorId="38382FB0" wp14:editId="5E8A407D">
                  <wp:extent cx="1083447" cy="1440000"/>
                  <wp:effectExtent l="0" t="0" r="2540" b="8255"/>
                  <wp:docPr id="104" name="Grafik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20170112_134055.jpg"/>
                          <pic:cNvPicPr/>
                        </pic:nvPicPr>
                        <pic:blipFill rotWithShape="1">
                          <a:blip r:embed="rId15" cstate="print">
                            <a:extLst>
                              <a:ext uri="{28A0092B-C50C-407E-A947-70E740481C1C}">
                                <a14:useLocalDpi xmlns:a14="http://schemas.microsoft.com/office/drawing/2010/main" val="0"/>
                              </a:ext>
                            </a:extLst>
                          </a:blip>
                          <a:srcRect l="16610" t="19243" b="16602"/>
                          <a:stretch/>
                        </pic:blipFill>
                        <pic:spPr bwMode="auto">
                          <a:xfrm>
                            <a:off x="0" y="0"/>
                            <a:ext cx="1083447" cy="1440000"/>
                          </a:xfrm>
                          <a:prstGeom prst="rect">
                            <a:avLst/>
                          </a:prstGeom>
                          <a:ln>
                            <a:noFill/>
                          </a:ln>
                          <a:extLst>
                            <a:ext uri="{53640926-AAD7-44D8-BBD7-CCE9431645EC}">
                              <a14:shadowObscured xmlns:a14="http://schemas.microsoft.com/office/drawing/2010/main"/>
                            </a:ext>
                          </a:extLst>
                        </pic:spPr>
                      </pic:pic>
                    </a:graphicData>
                  </a:graphic>
                </wp:inline>
              </w:drawing>
            </w:r>
          </w:p>
        </w:tc>
        <w:tc>
          <w:tcPr>
            <w:tcW w:w="1897" w:type="dxa"/>
          </w:tcPr>
          <w:p w14:paraId="0AA7372A" w14:textId="46C56DDF" w:rsidR="00E820A7" w:rsidRDefault="00E820A7" w:rsidP="00E820A7">
            <w:pPr>
              <w:spacing w:after="0" w:line="252" w:lineRule="auto"/>
            </w:pPr>
            <w:r w:rsidRPr="002972C9">
              <w:rPr>
                <w:rFonts w:ascii="Arial Narrow" w:hAnsi="Arial Narrow"/>
                <w:noProof/>
                <w:sz w:val="24"/>
                <w:szCs w:val="24"/>
                <w:lang w:eastAsia="de-DE"/>
              </w:rPr>
              <w:drawing>
                <wp:inline distT="0" distB="0" distL="0" distR="0" wp14:anchorId="1F14ED70" wp14:editId="00E5AAF9">
                  <wp:extent cx="1080491" cy="1440000"/>
                  <wp:effectExtent l="0" t="0" r="5715" b="8255"/>
                  <wp:docPr id="106" name="Grafi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20170112_134155.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80491" cy="1440000"/>
                          </a:xfrm>
                          <a:prstGeom prst="rect">
                            <a:avLst/>
                          </a:prstGeom>
                        </pic:spPr>
                      </pic:pic>
                    </a:graphicData>
                  </a:graphic>
                </wp:inline>
              </w:drawing>
            </w:r>
          </w:p>
        </w:tc>
        <w:tc>
          <w:tcPr>
            <w:tcW w:w="1898" w:type="dxa"/>
          </w:tcPr>
          <w:p w14:paraId="4BFC0AD1" w14:textId="6C1FB7CC" w:rsidR="00E820A7" w:rsidRDefault="00E820A7" w:rsidP="00E820A7">
            <w:pPr>
              <w:spacing w:after="0" w:line="252" w:lineRule="auto"/>
            </w:pPr>
            <w:r w:rsidRPr="002972C9">
              <w:rPr>
                <w:rFonts w:ascii="Arial Narrow" w:hAnsi="Arial Narrow"/>
                <w:noProof/>
                <w:sz w:val="24"/>
                <w:szCs w:val="24"/>
                <w:lang w:eastAsia="de-DE"/>
              </w:rPr>
              <w:drawing>
                <wp:inline distT="0" distB="0" distL="0" distR="0" wp14:anchorId="17DAFDF4" wp14:editId="474D4265">
                  <wp:extent cx="1080491" cy="1440000"/>
                  <wp:effectExtent l="0" t="0" r="5715" b="8255"/>
                  <wp:docPr id="107" name="Grafik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20170112_13430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80491" cy="1440000"/>
                          </a:xfrm>
                          <a:prstGeom prst="rect">
                            <a:avLst/>
                          </a:prstGeom>
                        </pic:spPr>
                      </pic:pic>
                    </a:graphicData>
                  </a:graphic>
                </wp:inline>
              </w:drawing>
            </w:r>
          </w:p>
        </w:tc>
      </w:tr>
      <w:tr w:rsidR="00E820A7" w14:paraId="2BA2B04C" w14:textId="77777777" w:rsidTr="00E820A7">
        <w:tc>
          <w:tcPr>
            <w:tcW w:w="1897" w:type="dxa"/>
          </w:tcPr>
          <w:p w14:paraId="3C05BC8E" w14:textId="78503593" w:rsidR="00E820A7" w:rsidRPr="00E820A7" w:rsidRDefault="00E820A7" w:rsidP="00E820A7">
            <w:pPr>
              <w:spacing w:after="0" w:line="252" w:lineRule="auto"/>
              <w:jc w:val="center"/>
              <w:rPr>
                <w:sz w:val="12"/>
                <w:szCs w:val="12"/>
              </w:rPr>
            </w:pPr>
            <w:r w:rsidRPr="00E820A7">
              <w:rPr>
                <w:rFonts w:ascii="Arial Narrow" w:hAnsi="Arial Narrow"/>
                <w:sz w:val="12"/>
                <w:szCs w:val="12"/>
              </w:rPr>
              <w:t>1) Vor Zugabe von CO</w:t>
            </w:r>
            <w:r w:rsidRPr="00E820A7">
              <w:rPr>
                <w:rFonts w:ascii="Arial Narrow" w:hAnsi="Arial Narrow"/>
                <w:sz w:val="12"/>
                <w:szCs w:val="12"/>
                <w:vertAlign w:val="subscript"/>
              </w:rPr>
              <w:t>2</w:t>
            </w:r>
          </w:p>
        </w:tc>
        <w:tc>
          <w:tcPr>
            <w:tcW w:w="1897" w:type="dxa"/>
          </w:tcPr>
          <w:p w14:paraId="431F6A81" w14:textId="6A655720" w:rsidR="00E820A7" w:rsidRPr="00E820A7" w:rsidRDefault="00E820A7" w:rsidP="00E820A7">
            <w:pPr>
              <w:spacing w:after="0" w:line="252" w:lineRule="auto"/>
              <w:jc w:val="center"/>
              <w:rPr>
                <w:sz w:val="12"/>
                <w:szCs w:val="12"/>
              </w:rPr>
            </w:pPr>
            <w:r w:rsidRPr="00E820A7">
              <w:rPr>
                <w:rFonts w:ascii="Arial Narrow" w:hAnsi="Arial Narrow"/>
                <w:sz w:val="12"/>
                <w:szCs w:val="12"/>
              </w:rPr>
              <w:t>2) nach Zugabe von 2,5 mL CO</w:t>
            </w:r>
            <w:r w:rsidRPr="00E820A7">
              <w:rPr>
                <w:rFonts w:ascii="Arial Narrow" w:hAnsi="Arial Narrow"/>
                <w:sz w:val="12"/>
                <w:szCs w:val="12"/>
                <w:vertAlign w:val="subscript"/>
              </w:rPr>
              <w:t>2</w:t>
            </w:r>
          </w:p>
        </w:tc>
        <w:tc>
          <w:tcPr>
            <w:tcW w:w="1897" w:type="dxa"/>
          </w:tcPr>
          <w:p w14:paraId="2745A551" w14:textId="7BECCAD8" w:rsidR="00E820A7" w:rsidRPr="00E820A7" w:rsidRDefault="00E820A7" w:rsidP="00E820A7">
            <w:pPr>
              <w:spacing w:after="0" w:line="252" w:lineRule="auto"/>
              <w:jc w:val="center"/>
              <w:rPr>
                <w:sz w:val="12"/>
                <w:szCs w:val="12"/>
              </w:rPr>
            </w:pPr>
            <w:r w:rsidRPr="00E820A7">
              <w:rPr>
                <w:rFonts w:ascii="Arial Narrow" w:hAnsi="Arial Narrow"/>
                <w:sz w:val="12"/>
                <w:szCs w:val="12"/>
              </w:rPr>
              <w:t>3) nach Zugabe von 7 mL CO</w:t>
            </w:r>
            <w:r w:rsidRPr="00E820A7">
              <w:rPr>
                <w:rFonts w:ascii="Arial Narrow" w:hAnsi="Arial Narrow"/>
                <w:sz w:val="12"/>
                <w:szCs w:val="12"/>
                <w:vertAlign w:val="subscript"/>
              </w:rPr>
              <w:t>2</w:t>
            </w:r>
          </w:p>
        </w:tc>
        <w:tc>
          <w:tcPr>
            <w:tcW w:w="1897" w:type="dxa"/>
          </w:tcPr>
          <w:p w14:paraId="35E3CEB9" w14:textId="7CD86073" w:rsidR="00E820A7" w:rsidRPr="00E820A7" w:rsidRDefault="00E820A7" w:rsidP="00E820A7">
            <w:pPr>
              <w:spacing w:after="0" w:line="252" w:lineRule="auto"/>
              <w:jc w:val="center"/>
              <w:rPr>
                <w:sz w:val="12"/>
                <w:szCs w:val="12"/>
              </w:rPr>
            </w:pPr>
            <w:r w:rsidRPr="00E820A7">
              <w:rPr>
                <w:rFonts w:ascii="Arial Narrow" w:hAnsi="Arial Narrow"/>
                <w:sz w:val="12"/>
                <w:szCs w:val="12"/>
              </w:rPr>
              <w:t>4) nach Zugabe von 10mL CO</w:t>
            </w:r>
            <w:r w:rsidRPr="00E820A7">
              <w:rPr>
                <w:rFonts w:ascii="Arial Narrow" w:hAnsi="Arial Narrow"/>
                <w:sz w:val="12"/>
                <w:szCs w:val="12"/>
                <w:vertAlign w:val="subscript"/>
              </w:rPr>
              <w:t>2</w:t>
            </w:r>
          </w:p>
        </w:tc>
        <w:tc>
          <w:tcPr>
            <w:tcW w:w="1898" w:type="dxa"/>
          </w:tcPr>
          <w:p w14:paraId="7F7E4ED1" w14:textId="7D7CB7FF" w:rsidR="00E820A7" w:rsidRPr="00E820A7" w:rsidRDefault="00E820A7" w:rsidP="00E820A7">
            <w:pPr>
              <w:tabs>
                <w:tab w:val="left" w:pos="1985"/>
                <w:tab w:val="left" w:pos="3828"/>
                <w:tab w:val="left" w:pos="5529"/>
                <w:tab w:val="left" w:pos="7371"/>
              </w:tabs>
              <w:spacing w:after="0"/>
              <w:jc w:val="center"/>
              <w:rPr>
                <w:rFonts w:ascii="Arial Narrow" w:hAnsi="Arial Narrow"/>
                <w:sz w:val="12"/>
                <w:szCs w:val="12"/>
              </w:rPr>
            </w:pPr>
            <w:r w:rsidRPr="00E820A7">
              <w:rPr>
                <w:rFonts w:ascii="Arial Narrow" w:hAnsi="Arial Narrow"/>
                <w:sz w:val="12"/>
                <w:szCs w:val="12"/>
              </w:rPr>
              <w:t>5) … nach dem Schütteln</w:t>
            </w:r>
          </w:p>
        </w:tc>
      </w:tr>
    </w:tbl>
    <w:p w14:paraId="7D641A5E" w14:textId="0A543938" w:rsidR="000D36A8" w:rsidRDefault="000D36A8" w:rsidP="00E820A7">
      <w:pPr>
        <w:pStyle w:val="berschrift2"/>
        <w:ind w:left="714" w:hanging="357"/>
        <w:rPr>
          <w:rStyle w:val="IntensiveHervorhebung"/>
          <w:rFonts w:cstheme="minorHAnsi"/>
          <w:bCs/>
          <w:i w:val="0"/>
          <w:iCs w:val="0"/>
          <w:color w:val="auto"/>
        </w:rPr>
      </w:pPr>
      <w:r w:rsidRPr="000D36A8">
        <w:rPr>
          <w:rStyle w:val="IntensiveHervorhebung"/>
          <w:rFonts w:cstheme="minorHAnsi"/>
          <w:bCs/>
          <w:i w:val="0"/>
          <w:iCs w:val="0"/>
          <w:color w:val="auto"/>
        </w:rPr>
        <w:t>Lernprodukt präsentieren, diskutieren/verhandeln</w:t>
      </w:r>
      <w:r w:rsidR="00E820A7">
        <w:rPr>
          <w:rStyle w:val="IntensiveHervorhebung"/>
          <w:rFonts w:cstheme="minorHAnsi"/>
          <w:bCs/>
          <w:i w:val="0"/>
          <w:iCs w:val="0"/>
          <w:color w:val="auto"/>
        </w:rPr>
        <w:t xml:space="preserve"> und sichern</w:t>
      </w:r>
    </w:p>
    <w:p w14:paraId="11B904FD" w14:textId="20E49DC7" w:rsidR="00E57E71" w:rsidRDefault="00584EF4" w:rsidP="00E820A7">
      <w:pPr>
        <w:spacing w:after="0" w:line="252" w:lineRule="auto"/>
        <w:ind w:left="357"/>
      </w:pPr>
      <w:r>
        <w:t xml:space="preserve">Haben </w:t>
      </w:r>
      <w:r w:rsidR="00E820A7" w:rsidRPr="009C17AA">
        <w:t xml:space="preserve">die </w:t>
      </w:r>
      <w:r>
        <w:t>Lernenden</w:t>
      </w:r>
      <w:r w:rsidR="00E820A7">
        <w:t xml:space="preserve"> </w:t>
      </w:r>
      <w:r w:rsidR="00E820A7" w:rsidRPr="009C17AA">
        <w:t>den Sinn des Vorversuchs richtig erfasst</w:t>
      </w:r>
      <w:r>
        <w:t xml:space="preserve">? Können sie </w:t>
      </w:r>
      <w:r w:rsidR="00E820A7" w:rsidRPr="009C17AA">
        <w:t>benennen, was genau untersucht wurde</w:t>
      </w:r>
      <w:r w:rsidR="00E57E71">
        <w:t xml:space="preserve"> und </w:t>
      </w:r>
      <w:r>
        <w:t>d</w:t>
      </w:r>
      <w:r w:rsidR="00E820A7" w:rsidRPr="009C17AA">
        <w:t>ie Deutungen formulieren</w:t>
      </w:r>
      <w:r w:rsidR="00E57E71">
        <w:t>?</w:t>
      </w:r>
    </w:p>
    <w:p w14:paraId="31D8DF86" w14:textId="196699B8" w:rsidR="00584EF4" w:rsidRDefault="00584EF4" w:rsidP="00E820A7">
      <w:pPr>
        <w:spacing w:after="0" w:line="252" w:lineRule="auto"/>
        <w:ind w:left="357"/>
      </w:pPr>
      <w:r>
        <w:t xml:space="preserve">Kommen Sie auf die </w:t>
      </w:r>
      <w:r w:rsidR="00E820A7" w:rsidRPr="009C17AA">
        <w:t xml:space="preserve">Hypothese </w:t>
      </w:r>
      <w:r>
        <w:t xml:space="preserve">zurück und beziehen sie </w:t>
      </w:r>
      <w:r w:rsidR="00E820A7" w:rsidRPr="009C17AA">
        <w:t>das Modellexperiment wieder auf die Ausgangssituation rück (</w:t>
      </w:r>
      <w:r w:rsidR="00E57E71">
        <w:t>CO</w:t>
      </w:r>
      <w:r w:rsidR="00E57E71" w:rsidRPr="00E57E71">
        <w:rPr>
          <w:vertAlign w:val="subscript"/>
        </w:rPr>
        <w:t>2</w:t>
      </w:r>
      <w:r w:rsidR="00E57E71">
        <w:t xml:space="preserve"> aus </w:t>
      </w:r>
      <w:r w:rsidR="00E820A7" w:rsidRPr="009C17AA">
        <w:t>Humusschichten)</w:t>
      </w:r>
      <w:r>
        <w:t xml:space="preserve">. </w:t>
      </w:r>
      <w:r w:rsidR="00E57E71">
        <w:t xml:space="preserve">Die Verknüpfung von </w:t>
      </w:r>
      <w:r w:rsidR="00E820A7" w:rsidRPr="009C17AA">
        <w:t xml:space="preserve">stofflicher Ebene </w:t>
      </w:r>
      <w:r w:rsidR="00E57E71">
        <w:t xml:space="preserve">und </w:t>
      </w:r>
      <w:r w:rsidR="00E820A7" w:rsidRPr="009C17AA">
        <w:t>Reaktion</w:t>
      </w:r>
      <w:r w:rsidR="00E57E71">
        <w:t xml:space="preserve">sgleichungen zeigt </w:t>
      </w:r>
      <w:r w:rsidR="00E820A7" w:rsidRPr="009C17AA">
        <w:t xml:space="preserve">den Eingriff in </w:t>
      </w:r>
      <w:r w:rsidR="00E57E71">
        <w:t xml:space="preserve">das </w:t>
      </w:r>
      <w:r w:rsidR="00E820A7" w:rsidRPr="009C17AA">
        <w:t>chemisches Gleichgewicht</w:t>
      </w:r>
      <w:r w:rsidR="00E57E71">
        <w:t xml:space="preserve">: </w:t>
      </w:r>
    </w:p>
    <w:p w14:paraId="16886F8F" w14:textId="77777777" w:rsidR="00E820A7" w:rsidRDefault="00E820A7" w:rsidP="00E820A7">
      <w:pPr>
        <w:spacing w:before="240" w:after="0" w:line="252" w:lineRule="auto"/>
        <w:jc w:val="right"/>
      </w:pPr>
      <w:r>
        <w:rPr>
          <w:noProof/>
          <w:lang w:eastAsia="de-DE"/>
        </w:rPr>
        <w:drawing>
          <wp:inline distT="0" distB="0" distL="0" distR="0" wp14:anchorId="0B2C8E94" wp14:editId="47667E22">
            <wp:extent cx="5760720" cy="4582160"/>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4582160"/>
                    </a:xfrm>
                    <a:prstGeom prst="rect">
                      <a:avLst/>
                    </a:prstGeom>
                  </pic:spPr>
                </pic:pic>
              </a:graphicData>
            </a:graphic>
          </wp:inline>
        </w:drawing>
      </w:r>
    </w:p>
    <w:p w14:paraId="711AFB28" w14:textId="5F1B949D" w:rsidR="00064B5B" w:rsidRDefault="00E820A7" w:rsidP="00E57E71">
      <w:pPr>
        <w:pStyle w:val="berschrift2"/>
        <w:spacing w:after="0"/>
        <w:ind w:left="714" w:hanging="357"/>
        <w:rPr>
          <w:rStyle w:val="IntensiveHervorhebung"/>
          <w:rFonts w:ascii="Calibri" w:hAnsi="Calibri" w:cs="Calibri"/>
          <w:bCs/>
          <w:i w:val="0"/>
          <w:iCs w:val="0"/>
          <w:color w:val="auto"/>
        </w:rPr>
      </w:pPr>
      <w:r>
        <w:rPr>
          <w:rStyle w:val="IntensiveHervorhebung"/>
          <w:rFonts w:ascii="Calibri" w:hAnsi="Calibri" w:cs="Calibri"/>
          <w:bCs/>
          <w:i w:val="0"/>
          <w:iCs w:val="0"/>
          <w:color w:val="auto"/>
        </w:rPr>
        <w:t>Mögliche Anknüpfungen oder Vernetzungen, die sich im Folgenden anschließen können</w:t>
      </w:r>
    </w:p>
    <w:p w14:paraId="1D491D2F" w14:textId="1023EE34" w:rsidR="00963888" w:rsidRPr="00F90770" w:rsidRDefault="00584EF4" w:rsidP="00E57E71">
      <w:pPr>
        <w:spacing w:after="0" w:line="252" w:lineRule="auto"/>
        <w:ind w:left="357"/>
      </w:pPr>
      <w:r>
        <w:t>Kalkablagerungen im Wasserkocher und d</w:t>
      </w:r>
      <w:r w:rsidR="00E820A7">
        <w:t xml:space="preserve">er Weg von der </w:t>
      </w:r>
      <w:proofErr w:type="spellStart"/>
      <w:r w:rsidR="00E820A7">
        <w:t>Dolinen</w:t>
      </w:r>
      <w:r w:rsidR="00E57E71">
        <w:t>b</w:t>
      </w:r>
      <w:r w:rsidR="00E820A7">
        <w:t>ildung</w:t>
      </w:r>
      <w:proofErr w:type="spellEnd"/>
      <w:r w:rsidR="00E820A7">
        <w:t xml:space="preserve"> zur Tropfsteinhöhle können direkt im Anschluss besprochen werden</w:t>
      </w:r>
      <w:r>
        <w:t xml:space="preserve"> (M4)</w:t>
      </w:r>
      <w:r w:rsidR="00E820A7">
        <w:t xml:space="preserve">. Aber auch die Wirkung von Carboanhydrase im Blut bei der Umwandlung von Kohlenstoffdioxid zu Hydrogencarbonat sowie </w:t>
      </w:r>
      <w:r>
        <w:t xml:space="preserve">die später betrachtete </w:t>
      </w:r>
      <w:r w:rsidR="00E820A7">
        <w:t>Meeresversauerung („Kohlenstoffdioxid stößt den Korallen sauer auf“) sind weitere Anwendungen</w:t>
      </w:r>
      <w:r>
        <w:t xml:space="preserve"> (s. Klausuraufgaben)</w:t>
      </w:r>
      <w:r w:rsidR="00E820A7">
        <w:t>.</w:t>
      </w:r>
    </w:p>
    <w:sectPr w:rsidR="00963888" w:rsidRPr="00F90770" w:rsidSect="00C22495">
      <w:headerReference w:type="default" r:id="rId19"/>
      <w:footerReference w:type="default" r:id="rId20"/>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68A3B" w14:textId="77777777" w:rsidR="007C7E79" w:rsidRDefault="007C7E79" w:rsidP="00091985">
      <w:r>
        <w:separator/>
      </w:r>
    </w:p>
  </w:endnote>
  <w:endnote w:type="continuationSeparator" w:id="0">
    <w:p w14:paraId="718B3A70" w14:textId="77777777" w:rsidR="007C7E79" w:rsidRDefault="007C7E79"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096855D4" w:rsidR="00091985" w:rsidRPr="00F05CCD" w:rsidRDefault="00C50C31">
          <w:pPr>
            <w:pStyle w:val="Fuzeile"/>
            <w:rPr>
              <w:rFonts w:cstheme="minorHAnsi"/>
            </w:rPr>
          </w:pPr>
          <w:r>
            <w:rPr>
              <w:rFonts w:cstheme="minorHAnsi"/>
              <w:sz w:val="12"/>
              <w:szCs w:val="12"/>
            </w:rPr>
            <w:t>Andreas Böhm</w:t>
          </w:r>
          <w:r w:rsidR="00E820A7">
            <w:rPr>
              <w:rFonts w:cstheme="minorHAnsi"/>
              <w:sz w:val="12"/>
              <w:szCs w:val="12"/>
            </w:rPr>
            <w:t xml:space="preserve"> und </w:t>
          </w:r>
          <w:r w:rsidR="00F05CCD">
            <w:rPr>
              <w:rFonts w:cstheme="minorHAnsi"/>
              <w:sz w:val="12"/>
              <w:szCs w:val="12"/>
            </w:rPr>
            <w:t>Gregor von Borstel</w:t>
          </w:r>
          <w:r w:rsidR="009C50DA" w:rsidRPr="00F05CCD">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CACEC" w14:textId="77777777" w:rsidR="007C7E79" w:rsidRDefault="007C7E79" w:rsidP="00091985">
      <w:bookmarkStart w:id="0" w:name="_Hlk28534524"/>
      <w:bookmarkEnd w:id="0"/>
      <w:r>
        <w:separator/>
      </w:r>
    </w:p>
  </w:footnote>
  <w:footnote w:type="continuationSeparator" w:id="0">
    <w:p w14:paraId="6BB512E1" w14:textId="77777777" w:rsidR="007C7E79" w:rsidRDefault="007C7E79" w:rsidP="00091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C5110" w14:textId="10D7BCA0" w:rsidR="00E820A7" w:rsidRDefault="00C22495" w:rsidP="00F82B57">
    <w:pPr>
      <w:pStyle w:val="Kopfzeile"/>
      <w:tabs>
        <w:tab w:val="clear" w:pos="9072"/>
        <w:tab w:val="right" w:pos="9496"/>
      </w:tabs>
      <w:spacing w:after="0"/>
      <w:rPr>
        <w:rFonts w:cstheme="minorHAnsi"/>
        <w:b/>
        <w:sz w:val="32"/>
      </w:rPr>
    </w:pPr>
    <w:r w:rsidRPr="00963888">
      <w:rPr>
        <w:rFonts w:cstheme="minorHAnsi"/>
        <w:noProof/>
      </w:rPr>
      <w:drawing>
        <wp:anchor distT="0" distB="0" distL="114300" distR="114300" simplePos="0" relativeHeight="251658240" behindDoc="1" locked="0" layoutInCell="1" allowOverlap="1" wp14:anchorId="7F2E8101" wp14:editId="0B3636D6">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36A8">
      <w:rPr>
        <w:rFonts w:cstheme="minorHAnsi"/>
        <w:b/>
        <w:sz w:val="32"/>
      </w:rPr>
      <w:t xml:space="preserve">Die Idee dahinter: </w:t>
    </w:r>
    <w:r w:rsidR="00E820A7">
      <w:rPr>
        <w:rFonts w:cstheme="minorHAnsi"/>
        <w:b/>
        <w:sz w:val="32"/>
      </w:rPr>
      <w:t>Wie kommt das Loch in den</w:t>
    </w:r>
    <w:r w:rsidR="00F82B57">
      <w:rPr>
        <w:rFonts w:cstheme="minorHAnsi"/>
        <w:b/>
        <w:sz w:val="32"/>
      </w:rPr>
      <w:t xml:space="preserve"> </w:t>
    </w:r>
    <w:r w:rsidR="00E820A7">
      <w:rPr>
        <w:rFonts w:cstheme="minorHAnsi"/>
        <w:b/>
        <w:sz w:val="32"/>
      </w:rPr>
      <w:t>Kalkboden?</w:t>
    </w:r>
    <w:r w:rsidR="00F82B57">
      <w:rPr>
        <w:rFonts w:cstheme="minorHAnsi"/>
        <w:b/>
        <w:sz w:val="32"/>
      </w:rPr>
      <w:tab/>
    </w:r>
  </w:p>
  <w:p w14:paraId="59BA51F4" w14:textId="2498F104" w:rsidR="00F82B57" w:rsidRPr="00F82B57" w:rsidRDefault="00F92F80" w:rsidP="00F82B57">
    <w:pPr>
      <w:pStyle w:val="Kopfzeile"/>
      <w:spacing w:after="240"/>
      <w:rPr>
        <w:b/>
        <w:sz w:val="24"/>
      </w:rPr>
    </w:pPr>
    <w:r>
      <w:rPr>
        <w:b/>
        <w:sz w:val="24"/>
      </w:rPr>
      <w:t xml:space="preserve">Das </w:t>
    </w:r>
    <w:r w:rsidR="00F82B57">
      <w:rPr>
        <w:b/>
        <w:sz w:val="24"/>
      </w:rPr>
      <w:t>Kalk</w:t>
    </w:r>
    <w:r>
      <w:rPr>
        <w:b/>
        <w:sz w:val="24"/>
      </w:rPr>
      <w:t>/</w:t>
    </w:r>
    <w:r w:rsidR="00F82B57">
      <w:rPr>
        <w:b/>
        <w:sz w:val="24"/>
      </w:rPr>
      <w:t>Calciumhydrogencarbonat</w:t>
    </w:r>
    <w:r>
      <w:rPr>
        <w:b/>
        <w:sz w:val="24"/>
      </w:rPr>
      <w:t>/Kohlenstoffdioxidgleichgewicht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C1458A"/>
    <w:multiLevelType w:val="hybridMultilevel"/>
    <w:tmpl w:val="0208250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387326C"/>
    <w:multiLevelType w:val="hybridMultilevel"/>
    <w:tmpl w:val="25D83EF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3A2E0D"/>
    <w:multiLevelType w:val="hybridMultilevel"/>
    <w:tmpl w:val="B18602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1"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E7320B3"/>
    <w:multiLevelType w:val="hybridMultilevel"/>
    <w:tmpl w:val="609EE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11D5A70"/>
    <w:multiLevelType w:val="hybridMultilevel"/>
    <w:tmpl w:val="A48635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7836A7"/>
    <w:multiLevelType w:val="hybridMultilevel"/>
    <w:tmpl w:val="B4AE0BB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67B1F73"/>
    <w:multiLevelType w:val="hybridMultilevel"/>
    <w:tmpl w:val="61D801DC"/>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FB8549C"/>
    <w:multiLevelType w:val="hybridMultilevel"/>
    <w:tmpl w:val="49CA29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418A6"/>
    <w:multiLevelType w:val="hybridMultilevel"/>
    <w:tmpl w:val="85F474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34" w15:restartNumberingAfterBreak="0">
    <w:nsid w:val="7B9C7355"/>
    <w:multiLevelType w:val="hybridMultilevel"/>
    <w:tmpl w:val="B2E218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7E8B79E8"/>
    <w:multiLevelType w:val="hybridMultilevel"/>
    <w:tmpl w:val="2A2EA2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5"/>
  </w:num>
  <w:num w:numId="2">
    <w:abstractNumId w:val="1"/>
  </w:num>
  <w:num w:numId="3">
    <w:abstractNumId w:val="29"/>
  </w:num>
  <w:num w:numId="4">
    <w:abstractNumId w:val="31"/>
  </w:num>
  <w:num w:numId="5">
    <w:abstractNumId w:val="22"/>
  </w:num>
  <w:num w:numId="6">
    <w:abstractNumId w:val="26"/>
  </w:num>
  <w:num w:numId="7">
    <w:abstractNumId w:val="23"/>
  </w:num>
  <w:num w:numId="8">
    <w:abstractNumId w:val="8"/>
  </w:num>
  <w:num w:numId="9">
    <w:abstractNumId w:val="13"/>
  </w:num>
  <w:num w:numId="10">
    <w:abstractNumId w:val="18"/>
  </w:num>
  <w:num w:numId="11">
    <w:abstractNumId w:val="21"/>
  </w:num>
  <w:num w:numId="12">
    <w:abstractNumId w:val="3"/>
  </w:num>
  <w:num w:numId="13">
    <w:abstractNumId w:val="28"/>
  </w:num>
  <w:num w:numId="14">
    <w:abstractNumId w:val="10"/>
  </w:num>
  <w:num w:numId="15">
    <w:abstractNumId w:val="33"/>
  </w:num>
  <w:num w:numId="16">
    <w:abstractNumId w:val="11"/>
  </w:num>
  <w:num w:numId="17">
    <w:abstractNumId w:val="19"/>
  </w:num>
  <w:num w:numId="18">
    <w:abstractNumId w:val="4"/>
  </w:num>
  <w:num w:numId="19">
    <w:abstractNumId w:val="16"/>
  </w:num>
  <w:num w:numId="20">
    <w:abstractNumId w:val="27"/>
  </w:num>
  <w:num w:numId="21">
    <w:abstractNumId w:val="9"/>
  </w:num>
  <w:num w:numId="22">
    <w:abstractNumId w:val="0"/>
  </w:num>
  <w:num w:numId="23">
    <w:abstractNumId w:val="2"/>
  </w:num>
  <w:num w:numId="24">
    <w:abstractNumId w:val="24"/>
  </w:num>
  <w:num w:numId="25">
    <w:abstractNumId w:val="30"/>
  </w:num>
  <w:num w:numId="26">
    <w:abstractNumId w:val="35"/>
  </w:num>
  <w:num w:numId="27">
    <w:abstractNumId w:val="6"/>
  </w:num>
  <w:num w:numId="28">
    <w:abstractNumId w:val="7"/>
  </w:num>
  <w:num w:numId="29">
    <w:abstractNumId w:val="25"/>
  </w:num>
  <w:num w:numId="30">
    <w:abstractNumId w:val="17"/>
  </w:num>
  <w:num w:numId="31">
    <w:abstractNumId w:val="30"/>
    <w:lvlOverride w:ilvl="0">
      <w:startOverride w:val="1"/>
    </w:lvlOverride>
  </w:num>
  <w:num w:numId="32">
    <w:abstractNumId w:val="34"/>
  </w:num>
  <w:num w:numId="33">
    <w:abstractNumId w:val="32"/>
  </w:num>
  <w:num w:numId="34">
    <w:abstractNumId w:val="20"/>
  </w:num>
  <w:num w:numId="35">
    <w:abstractNumId w:val="14"/>
  </w:num>
  <w:num w:numId="36">
    <w:abstractNumId w:val="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3538C"/>
    <w:rsid w:val="00064B5B"/>
    <w:rsid w:val="00091985"/>
    <w:rsid w:val="000A079A"/>
    <w:rsid w:val="000D36A8"/>
    <w:rsid w:val="00130994"/>
    <w:rsid w:val="0017415A"/>
    <w:rsid w:val="001F542F"/>
    <w:rsid w:val="00217645"/>
    <w:rsid w:val="00284F4A"/>
    <w:rsid w:val="002E0312"/>
    <w:rsid w:val="0034439F"/>
    <w:rsid w:val="003D3208"/>
    <w:rsid w:val="00401578"/>
    <w:rsid w:val="00492D19"/>
    <w:rsid w:val="004D791F"/>
    <w:rsid w:val="004F55DD"/>
    <w:rsid w:val="00572D23"/>
    <w:rsid w:val="00584EF4"/>
    <w:rsid w:val="006C00E3"/>
    <w:rsid w:val="0074484F"/>
    <w:rsid w:val="007A57E7"/>
    <w:rsid w:val="007B753D"/>
    <w:rsid w:val="007C20E3"/>
    <w:rsid w:val="007C7E79"/>
    <w:rsid w:val="00805156"/>
    <w:rsid w:val="008118F4"/>
    <w:rsid w:val="0086062D"/>
    <w:rsid w:val="008947F1"/>
    <w:rsid w:val="008D2237"/>
    <w:rsid w:val="008F1B40"/>
    <w:rsid w:val="00931457"/>
    <w:rsid w:val="00963888"/>
    <w:rsid w:val="009651F7"/>
    <w:rsid w:val="009C50DA"/>
    <w:rsid w:val="00A21B91"/>
    <w:rsid w:val="00A6782D"/>
    <w:rsid w:val="00A67A59"/>
    <w:rsid w:val="00AD0B10"/>
    <w:rsid w:val="00B22F4C"/>
    <w:rsid w:val="00BE63AE"/>
    <w:rsid w:val="00BF594B"/>
    <w:rsid w:val="00C22495"/>
    <w:rsid w:val="00C50C31"/>
    <w:rsid w:val="00CA0EC6"/>
    <w:rsid w:val="00CA40B3"/>
    <w:rsid w:val="00D22BE2"/>
    <w:rsid w:val="00D230ED"/>
    <w:rsid w:val="00DF1598"/>
    <w:rsid w:val="00E57E71"/>
    <w:rsid w:val="00E62BEF"/>
    <w:rsid w:val="00E74E58"/>
    <w:rsid w:val="00E820A7"/>
    <w:rsid w:val="00E82A86"/>
    <w:rsid w:val="00E913E4"/>
    <w:rsid w:val="00E95FE8"/>
    <w:rsid w:val="00F05CCD"/>
    <w:rsid w:val="00F22FE5"/>
    <w:rsid w:val="00F82B57"/>
    <w:rsid w:val="00F90770"/>
    <w:rsid w:val="00F92F80"/>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0C31"/>
    <w:pPr>
      <w:spacing w:after="120"/>
      <w:jc w:val="both"/>
    </w:pPr>
  </w:style>
  <w:style w:type="paragraph" w:styleId="berschrift1">
    <w:name w:val="heading 1"/>
    <w:basedOn w:val="Standard"/>
    <w:next w:val="Standard"/>
    <w:link w:val="berschrift1Zchn"/>
    <w:uiPriority w:val="9"/>
    <w:qFormat/>
    <w:rsid w:val="00F22FE5"/>
    <w:pPr>
      <w:keepNext/>
      <w:keepLines/>
      <w:spacing w:before="240"/>
      <w:outlineLvl w:val="0"/>
    </w:pPr>
    <w:rPr>
      <w:rFonts w:ascii="Calibri" w:eastAsiaTheme="majorEastAsia" w:hAnsi="Calibri" w:cstheme="majorBidi"/>
      <w:b/>
      <w:color w:val="000000" w:themeColor="text1"/>
      <w:sz w:val="28"/>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7415A"/>
    <w:pPr>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semiHidden/>
    <w:unhideWhenUsed/>
    <w:rsid w:val="00E913E4"/>
    <w:rPr>
      <w:color w:val="0563C1"/>
      <w:u w:val="single"/>
    </w:rPr>
  </w:style>
  <w:style w:type="character" w:customStyle="1" w:styleId="berschrift1Zchn">
    <w:name w:val="Überschrift 1 Zchn"/>
    <w:basedOn w:val="Absatz-Standardschriftart"/>
    <w:link w:val="berschrift1"/>
    <w:uiPriority w:val="9"/>
    <w:rsid w:val="00F22FE5"/>
    <w:rPr>
      <w:rFonts w:ascii="Calibri" w:eastAsiaTheme="majorEastAsia" w:hAnsi="Calibri" w:cstheme="majorBidi"/>
      <w:b/>
      <w:color w:val="000000" w:themeColor="text1"/>
      <w:sz w:val="28"/>
      <w:szCs w:val="32"/>
    </w:rPr>
  </w:style>
  <w:style w:type="paragraph" w:styleId="Funotentext">
    <w:name w:val="footnote text"/>
    <w:basedOn w:val="Standard"/>
    <w:link w:val="FunotentextZchn"/>
    <w:uiPriority w:val="99"/>
    <w:semiHidde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965">
      <w:bodyDiv w:val="1"/>
      <w:marLeft w:val="0"/>
      <w:marRight w:val="0"/>
      <w:marTop w:val="0"/>
      <w:marBottom w:val="0"/>
      <w:divBdr>
        <w:top w:val="none" w:sz="0" w:space="0" w:color="auto"/>
        <w:left w:val="none" w:sz="0" w:space="0" w:color="auto"/>
        <w:bottom w:val="none" w:sz="0" w:space="0" w:color="auto"/>
        <w:right w:val="none" w:sz="0" w:space="0" w:color="auto"/>
      </w:divBdr>
    </w:div>
    <w:div w:id="153112838">
      <w:bodyDiv w:val="1"/>
      <w:marLeft w:val="0"/>
      <w:marRight w:val="0"/>
      <w:marTop w:val="0"/>
      <w:marBottom w:val="0"/>
      <w:divBdr>
        <w:top w:val="none" w:sz="0" w:space="0" w:color="auto"/>
        <w:left w:val="none" w:sz="0" w:space="0" w:color="auto"/>
        <w:bottom w:val="none" w:sz="0" w:space="0" w:color="auto"/>
        <w:right w:val="none" w:sz="0" w:space="0" w:color="auto"/>
      </w:divBdr>
    </w:div>
    <w:div w:id="219899521">
      <w:bodyDiv w:val="1"/>
      <w:marLeft w:val="0"/>
      <w:marRight w:val="0"/>
      <w:marTop w:val="0"/>
      <w:marBottom w:val="0"/>
      <w:divBdr>
        <w:top w:val="none" w:sz="0" w:space="0" w:color="auto"/>
        <w:left w:val="none" w:sz="0" w:space="0" w:color="auto"/>
        <w:bottom w:val="none" w:sz="0" w:space="0" w:color="auto"/>
        <w:right w:val="none" w:sz="0" w:space="0" w:color="auto"/>
      </w:divBdr>
    </w:div>
    <w:div w:id="628509836">
      <w:bodyDiv w:val="1"/>
      <w:marLeft w:val="0"/>
      <w:marRight w:val="0"/>
      <w:marTop w:val="0"/>
      <w:marBottom w:val="0"/>
      <w:divBdr>
        <w:top w:val="none" w:sz="0" w:space="0" w:color="auto"/>
        <w:left w:val="none" w:sz="0" w:space="0" w:color="auto"/>
        <w:bottom w:val="none" w:sz="0" w:space="0" w:color="auto"/>
        <w:right w:val="none" w:sz="0" w:space="0" w:color="auto"/>
      </w:divBdr>
    </w:div>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756244722">
      <w:bodyDiv w:val="1"/>
      <w:marLeft w:val="0"/>
      <w:marRight w:val="0"/>
      <w:marTop w:val="0"/>
      <w:marBottom w:val="0"/>
      <w:divBdr>
        <w:top w:val="none" w:sz="0" w:space="0" w:color="auto"/>
        <w:left w:val="none" w:sz="0" w:space="0" w:color="auto"/>
        <w:bottom w:val="none" w:sz="0" w:space="0" w:color="auto"/>
        <w:right w:val="none" w:sz="0" w:space="0" w:color="auto"/>
      </w:divBdr>
    </w:div>
    <w:div w:id="935744677">
      <w:bodyDiv w:val="1"/>
      <w:marLeft w:val="0"/>
      <w:marRight w:val="0"/>
      <w:marTop w:val="0"/>
      <w:marBottom w:val="0"/>
      <w:divBdr>
        <w:top w:val="none" w:sz="0" w:space="0" w:color="auto"/>
        <w:left w:val="none" w:sz="0" w:space="0" w:color="auto"/>
        <w:bottom w:val="none" w:sz="0" w:space="0" w:color="auto"/>
        <w:right w:val="none" w:sz="0" w:space="0" w:color="auto"/>
      </w:divBdr>
    </w:div>
    <w:div w:id="1006790646">
      <w:bodyDiv w:val="1"/>
      <w:marLeft w:val="0"/>
      <w:marRight w:val="0"/>
      <w:marTop w:val="0"/>
      <w:marBottom w:val="0"/>
      <w:divBdr>
        <w:top w:val="none" w:sz="0" w:space="0" w:color="auto"/>
        <w:left w:val="none" w:sz="0" w:space="0" w:color="auto"/>
        <w:bottom w:val="none" w:sz="0" w:space="0" w:color="auto"/>
        <w:right w:val="none" w:sz="0" w:space="0" w:color="auto"/>
      </w:divBdr>
    </w:div>
    <w:div w:id="1048648838">
      <w:bodyDiv w:val="1"/>
      <w:marLeft w:val="0"/>
      <w:marRight w:val="0"/>
      <w:marTop w:val="0"/>
      <w:marBottom w:val="0"/>
      <w:divBdr>
        <w:top w:val="none" w:sz="0" w:space="0" w:color="auto"/>
        <w:left w:val="none" w:sz="0" w:space="0" w:color="auto"/>
        <w:bottom w:val="none" w:sz="0" w:space="0" w:color="auto"/>
        <w:right w:val="none" w:sz="0" w:space="0" w:color="auto"/>
      </w:divBdr>
    </w:div>
    <w:div w:id="1060713007">
      <w:bodyDiv w:val="1"/>
      <w:marLeft w:val="0"/>
      <w:marRight w:val="0"/>
      <w:marTop w:val="0"/>
      <w:marBottom w:val="0"/>
      <w:divBdr>
        <w:top w:val="none" w:sz="0" w:space="0" w:color="auto"/>
        <w:left w:val="none" w:sz="0" w:space="0" w:color="auto"/>
        <w:bottom w:val="none" w:sz="0" w:space="0" w:color="auto"/>
        <w:right w:val="none" w:sz="0" w:space="0" w:color="auto"/>
      </w:divBdr>
    </w:div>
    <w:div w:id="1144197569">
      <w:bodyDiv w:val="1"/>
      <w:marLeft w:val="0"/>
      <w:marRight w:val="0"/>
      <w:marTop w:val="0"/>
      <w:marBottom w:val="0"/>
      <w:divBdr>
        <w:top w:val="none" w:sz="0" w:space="0" w:color="auto"/>
        <w:left w:val="none" w:sz="0" w:space="0" w:color="auto"/>
        <w:bottom w:val="none" w:sz="0" w:space="0" w:color="auto"/>
        <w:right w:val="none" w:sz="0" w:space="0" w:color="auto"/>
      </w:divBdr>
    </w:div>
    <w:div w:id="1617131319">
      <w:bodyDiv w:val="1"/>
      <w:marLeft w:val="0"/>
      <w:marRight w:val="0"/>
      <w:marTop w:val="0"/>
      <w:marBottom w:val="0"/>
      <w:divBdr>
        <w:top w:val="none" w:sz="0" w:space="0" w:color="auto"/>
        <w:left w:val="none" w:sz="0" w:space="0" w:color="auto"/>
        <w:bottom w:val="none" w:sz="0" w:space="0" w:color="auto"/>
        <w:right w:val="none" w:sz="0" w:space="0" w:color="auto"/>
      </w:divBdr>
    </w:div>
    <w:div w:id="19944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674D-48A2-4B33-AA23-0D80FBFF9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897</Words>
  <Characters>5652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4</cp:revision>
  <cp:lastPrinted>2020-01-07T18:07:00Z</cp:lastPrinted>
  <dcterms:created xsi:type="dcterms:W3CDTF">2020-01-07T18:03:00Z</dcterms:created>
  <dcterms:modified xsi:type="dcterms:W3CDTF">2020-01-07T18:07:00Z</dcterms:modified>
</cp:coreProperties>
</file>