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FCDE" w14:textId="77777777" w:rsidR="009D703F" w:rsidRPr="009D703F" w:rsidRDefault="009D703F" w:rsidP="009D703F">
      <w:pPr>
        <w:keepNext/>
        <w:jc w:val="center"/>
        <w:outlineLvl w:val="0"/>
        <w:rPr>
          <w:b/>
          <w:sz w:val="28"/>
          <w:szCs w:val="24"/>
        </w:rPr>
      </w:pPr>
      <w:r w:rsidRPr="009D703F">
        <w:rPr>
          <w:b/>
          <w:sz w:val="28"/>
          <w:szCs w:val="24"/>
        </w:rPr>
        <w:t>Pädagogischer und organisatorischer Plan zur lernförderlichen Verknüpfung von Präsenz- und Distanzunterricht</w:t>
      </w:r>
    </w:p>
    <w:p w14:paraId="1B349CDA" w14:textId="04211057" w:rsidR="009D703F" w:rsidRPr="009D703F" w:rsidRDefault="009D703F" w:rsidP="009D703F">
      <w:pPr>
        <w:rPr>
          <w:sz w:val="24"/>
          <w:szCs w:val="24"/>
        </w:rPr>
      </w:pPr>
      <w:r w:rsidRPr="009D703F">
        <w:rPr>
          <w:sz w:val="24"/>
          <w:szCs w:val="24"/>
        </w:rPr>
        <w:t xml:space="preserve">Der vorliegende Strukturentwurf kann der Orientierung bei der Erstellung eines individuellen schuleigenen Plans dienen. Die einzelnen Punkte bilden keine </w:t>
      </w:r>
      <w:proofErr w:type="spellStart"/>
      <w:r w:rsidRPr="009D703F">
        <w:rPr>
          <w:sz w:val="24"/>
          <w:szCs w:val="24"/>
        </w:rPr>
        <w:t>Obligatorik</w:t>
      </w:r>
      <w:proofErr w:type="spellEnd"/>
      <w:r w:rsidR="00CF0671">
        <w:rPr>
          <w:sz w:val="24"/>
          <w:szCs w:val="24"/>
        </w:rPr>
        <w:t>,</w:t>
      </w:r>
      <w:bookmarkStart w:id="0" w:name="_GoBack"/>
      <w:bookmarkEnd w:id="0"/>
      <w:r w:rsidRPr="009D703F">
        <w:rPr>
          <w:sz w:val="24"/>
          <w:szCs w:val="24"/>
        </w:rPr>
        <w:t xml:space="preserve"> sondern vielmehr Anregungen zur Ausgestaltung ab, die modifiziert oder verworfen werden können. </w:t>
      </w:r>
    </w:p>
    <w:p w14:paraId="4C72269E" w14:textId="77777777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Regel-Stundenplangestaltung</w:t>
      </w:r>
    </w:p>
    <w:p w14:paraId="524069EB" w14:textId="77777777" w:rsidR="009D703F" w:rsidRPr="009D703F" w:rsidRDefault="009D703F" w:rsidP="009D70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sz w:val="24"/>
          <w:szCs w:val="24"/>
        </w:rPr>
      </w:pPr>
      <w:r w:rsidRPr="009D703F">
        <w:rPr>
          <w:rFonts w:ascii="CIDFont+F1" w:hAnsi="CIDFont+F1" w:cs="CIDFont+F1"/>
          <w:i/>
          <w:sz w:val="24"/>
          <w:szCs w:val="24"/>
        </w:rPr>
        <w:t>Der Unterricht wird in der Regel als Präsenzunterricht in den Fächern der Stundentafeln erteilt. (Verordnung §2 Abs. 1)</w:t>
      </w:r>
    </w:p>
    <w:p w14:paraId="0C2C3324" w14:textId="77777777" w:rsidR="009D703F" w:rsidRPr="009D703F" w:rsidRDefault="009D703F" w:rsidP="009D703F">
      <w:pPr>
        <w:ind w:left="720"/>
        <w:contextualSpacing/>
        <w:rPr>
          <w:sz w:val="24"/>
          <w:szCs w:val="24"/>
        </w:rPr>
      </w:pPr>
    </w:p>
    <w:p w14:paraId="16B2AC98" w14:textId="77777777" w:rsidR="009D703F" w:rsidRPr="009D703F" w:rsidRDefault="009D703F" w:rsidP="009D703F">
      <w:pPr>
        <w:numPr>
          <w:ilvl w:val="0"/>
          <w:numId w:val="23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Personaleinsatz</w:t>
      </w:r>
    </w:p>
    <w:p w14:paraId="5F9405C1" w14:textId="77777777" w:rsidR="009D703F" w:rsidRPr="009D703F" w:rsidRDefault="009D703F" w:rsidP="009D703F">
      <w:pPr>
        <w:numPr>
          <w:ilvl w:val="0"/>
          <w:numId w:val="23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Organisation des Unterrichtsbeginns (z.B. Zeiten, Gestaltung)</w:t>
      </w:r>
    </w:p>
    <w:p w14:paraId="4CADA257" w14:textId="77777777" w:rsidR="009D703F" w:rsidRPr="009D703F" w:rsidRDefault="009D703F" w:rsidP="009D703F">
      <w:pPr>
        <w:numPr>
          <w:ilvl w:val="0"/>
          <w:numId w:val="23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Aussagen zu einzelnen Fächern (Fächer, die fachfremd erteilt werden, Sportunterricht…)</w:t>
      </w:r>
    </w:p>
    <w:p w14:paraId="3C39CCA8" w14:textId="77777777" w:rsidR="009D703F" w:rsidRPr="009D703F" w:rsidRDefault="009D703F" w:rsidP="009D703F">
      <w:pPr>
        <w:numPr>
          <w:ilvl w:val="0"/>
          <w:numId w:val="23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Änderungen in der Raumplanung</w:t>
      </w:r>
    </w:p>
    <w:p w14:paraId="106D15D6" w14:textId="77777777" w:rsidR="009D703F" w:rsidRPr="009D703F" w:rsidRDefault="009D703F" w:rsidP="009D703F">
      <w:pPr>
        <w:numPr>
          <w:ilvl w:val="0"/>
          <w:numId w:val="23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Pausengestaltung (z.B. Zeiten, Aufsicht, Orte)</w:t>
      </w:r>
    </w:p>
    <w:p w14:paraId="43EB6D30" w14:textId="77777777" w:rsidR="009D703F" w:rsidRPr="009D703F" w:rsidRDefault="009D703F" w:rsidP="009D703F">
      <w:pPr>
        <w:numPr>
          <w:ilvl w:val="0"/>
          <w:numId w:val="23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Änderungen im Schulalltag (z.B. Publikumsverkehr, Getränkeausgabe, Feste und Feiern)</w:t>
      </w:r>
    </w:p>
    <w:p w14:paraId="39C897FD" w14:textId="77777777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Vorüberlegungen zu möglicher Sonder-Stundenplangestaltung</w:t>
      </w:r>
    </w:p>
    <w:p w14:paraId="5F7B9EAC" w14:textId="77777777" w:rsidR="009D703F" w:rsidRPr="009D703F" w:rsidRDefault="009D703F" w:rsidP="009D70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sz w:val="24"/>
          <w:szCs w:val="24"/>
        </w:rPr>
      </w:pPr>
      <w:r w:rsidRPr="009D703F">
        <w:rPr>
          <w:rFonts w:ascii="CIDFont+F1" w:hAnsi="CIDFont+F1" w:cs="CIDFont+F1"/>
          <w:i/>
          <w:sz w:val="24"/>
          <w:szCs w:val="24"/>
        </w:rPr>
        <w:t>Falls der Präsenzunterricht auch nach Ausschöpfen aller Möglichkeiten wegen des</w:t>
      </w:r>
    </w:p>
    <w:p w14:paraId="24831D8E" w14:textId="77777777" w:rsidR="009D703F" w:rsidRPr="009D703F" w:rsidRDefault="009D703F" w:rsidP="009D70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sz w:val="24"/>
          <w:szCs w:val="24"/>
        </w:rPr>
      </w:pPr>
      <w:r w:rsidRPr="009D703F">
        <w:rPr>
          <w:rFonts w:ascii="CIDFont+F1" w:hAnsi="CIDFont+F1" w:cs="CIDFont+F1"/>
          <w:i/>
          <w:sz w:val="24"/>
          <w:szCs w:val="24"/>
        </w:rPr>
        <w:t>Infektionsschutzes oder deshalb nicht vollständig möglich ist, weil Lehrerinnen und</w:t>
      </w:r>
    </w:p>
    <w:p w14:paraId="551187BB" w14:textId="77777777" w:rsidR="009D703F" w:rsidRPr="009D703F" w:rsidRDefault="009D703F" w:rsidP="009D70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sz w:val="24"/>
          <w:szCs w:val="24"/>
        </w:rPr>
      </w:pPr>
      <w:r w:rsidRPr="009D703F">
        <w:rPr>
          <w:rFonts w:ascii="CIDFont+F1" w:hAnsi="CIDFont+F1" w:cs="CIDFont+F1"/>
          <w:i/>
          <w:sz w:val="24"/>
          <w:szCs w:val="24"/>
        </w:rPr>
        <w:t>Lehrer nicht dafür eingesetzt werden können und auch kein Vertretungsunterricht erteilt werden kann, findet Unterricht mit räumlicher Distanz in engem und planvollem</w:t>
      </w:r>
    </w:p>
    <w:p w14:paraId="1C910526" w14:textId="77777777" w:rsidR="009D703F" w:rsidRPr="009D703F" w:rsidRDefault="009D703F" w:rsidP="009D70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sz w:val="24"/>
          <w:szCs w:val="24"/>
        </w:rPr>
      </w:pPr>
      <w:r w:rsidRPr="009D703F">
        <w:rPr>
          <w:rFonts w:ascii="CIDFont+F1" w:hAnsi="CIDFont+F1" w:cs="CIDFont+F1"/>
          <w:i/>
          <w:sz w:val="24"/>
          <w:szCs w:val="24"/>
        </w:rPr>
        <w:t>Austausch der Lehrenden und Lernenden statt (Distanzunterricht). Der Distanzunterricht ist Teil des nach den Stundentafeln vorgesehenen Unterrichts. (Verordnung §2 Abs. 2)</w:t>
      </w:r>
    </w:p>
    <w:p w14:paraId="027F5215" w14:textId="77777777" w:rsidR="009D703F" w:rsidRPr="009D703F" w:rsidRDefault="009D703F" w:rsidP="009D703F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697CA9D9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Auswahlkriterien für die Einrichtung von Distanzunterricht (vgl. HR 3.2.1)</w:t>
      </w:r>
    </w:p>
    <w:p w14:paraId="6E8CC8D7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i/>
          <w:sz w:val="24"/>
          <w:szCs w:val="24"/>
        </w:rPr>
      </w:pPr>
      <w:r w:rsidRPr="009D703F">
        <w:rPr>
          <w:sz w:val="24"/>
          <w:szCs w:val="24"/>
        </w:rPr>
        <w:t>Modifizierter Personaleinsatz (</w:t>
      </w:r>
      <w:r w:rsidRPr="009D703F">
        <w:rPr>
          <w:i/>
          <w:sz w:val="24"/>
          <w:szCs w:val="24"/>
        </w:rPr>
        <w:t>Der Plan zur Organisation des</w:t>
      </w:r>
      <w:r w:rsidRPr="009D703F">
        <w:rPr>
          <w:sz w:val="24"/>
          <w:szCs w:val="24"/>
        </w:rPr>
        <w:t xml:space="preserve"> </w:t>
      </w:r>
      <w:r w:rsidRPr="009D703F">
        <w:rPr>
          <w:i/>
          <w:sz w:val="24"/>
          <w:szCs w:val="24"/>
        </w:rPr>
        <w:t>Distanzunterrichts kann vorsehen, dass der Präsenzunterricht und der Distanzunterricht von unterschiedlichen Lehrkräften in gemeinsamer Verantwortung und enger Abstimmung erteilt werden. Verordnung §3 Abs. 3)</w:t>
      </w:r>
    </w:p>
    <w:p w14:paraId="2A01DD3D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Schaffung von Lernräumen (Study Hall)</w:t>
      </w:r>
    </w:p>
    <w:p w14:paraId="29540D77" w14:textId="77777777" w:rsidR="00B4306A" w:rsidRDefault="00B4306A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  <w:sectPr w:rsidR="00B4306A" w:rsidSect="009D703F">
          <w:headerReference w:type="default" r:id="rId7"/>
          <w:foot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4912DD3" w14:textId="077B896F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Vorbereitung von Distanzunterricht im Rahmen des Präsenzunterrichts</w:t>
      </w:r>
    </w:p>
    <w:p w14:paraId="7097C81F" w14:textId="47444A11" w:rsidR="009D703F" w:rsidRDefault="009D703F" w:rsidP="009D703F">
      <w:pPr>
        <w:numPr>
          <w:ilvl w:val="0"/>
          <w:numId w:val="28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 xml:space="preserve">Ermittlung der Ausgangslage der </w:t>
      </w:r>
      <w:proofErr w:type="spellStart"/>
      <w:r w:rsidRPr="009D703F">
        <w:rPr>
          <w:sz w:val="24"/>
          <w:szCs w:val="24"/>
        </w:rPr>
        <w:t>SuS</w:t>
      </w:r>
      <w:proofErr w:type="spellEnd"/>
      <w:r w:rsidRPr="009D703F">
        <w:rPr>
          <w:sz w:val="24"/>
          <w:szCs w:val="24"/>
        </w:rPr>
        <w:t xml:space="preserve"> (technisch, inhaltlich)</w:t>
      </w:r>
    </w:p>
    <w:p w14:paraId="79EEEB0C" w14:textId="030796F5" w:rsidR="009D703F" w:rsidRPr="009D703F" w:rsidRDefault="009D703F" w:rsidP="00A930FB">
      <w:pPr>
        <w:numPr>
          <w:ilvl w:val="0"/>
          <w:numId w:val="28"/>
        </w:numPr>
        <w:contextualSpacing/>
        <w:rPr>
          <w:i/>
          <w:sz w:val="24"/>
          <w:szCs w:val="24"/>
        </w:rPr>
      </w:pPr>
      <w:r w:rsidRPr="009D703F">
        <w:rPr>
          <w:sz w:val="24"/>
          <w:szCs w:val="24"/>
        </w:rPr>
        <w:t>Unterrichtsgestaltung</w:t>
      </w:r>
      <w:r w:rsidR="00DB03BE">
        <w:rPr>
          <w:sz w:val="24"/>
          <w:szCs w:val="24"/>
        </w:rPr>
        <w:t xml:space="preserve"> auch im Präsenzunterricht</w:t>
      </w:r>
      <w:r w:rsidRPr="009D703F">
        <w:rPr>
          <w:sz w:val="24"/>
          <w:szCs w:val="24"/>
        </w:rPr>
        <w:t xml:space="preserve"> entsprechend der didaktischen Maxime (vgl. HR 4)</w:t>
      </w:r>
    </w:p>
    <w:p w14:paraId="21DA3F07" w14:textId="44B285C2" w:rsidR="009D703F" w:rsidRPr="009D703F" w:rsidRDefault="009D703F" w:rsidP="009D703F">
      <w:pPr>
        <w:pStyle w:val="Textkrper-Zeileneinzug"/>
      </w:pPr>
      <w:r w:rsidRPr="009D703F">
        <w:t xml:space="preserve">Plane den Unterricht stets so, dass er mit möglichst wenigen Änderungen sowohl im Präsenz- als auch im reinen Distanzunterricht oder im </w:t>
      </w:r>
      <w:proofErr w:type="spellStart"/>
      <w:r w:rsidRPr="009D703F">
        <w:t>Blended</w:t>
      </w:r>
      <w:proofErr w:type="spellEnd"/>
      <w:r w:rsidRPr="009D703F">
        <w:t xml:space="preserve"> Learning lernförderlich umsetzbar ist.</w:t>
      </w:r>
    </w:p>
    <w:p w14:paraId="402C5175" w14:textId="1882EBD5" w:rsidR="00DB03BE" w:rsidRDefault="00DB03BE" w:rsidP="009D703F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Absprachen im Kollegium zu methodisch-didaktischen Entscheidungen</w:t>
      </w:r>
    </w:p>
    <w:p w14:paraId="09E5509D" w14:textId="73D7FDB0" w:rsidR="009D703F" w:rsidRPr="009D703F" w:rsidRDefault="009D703F" w:rsidP="009D703F">
      <w:pPr>
        <w:numPr>
          <w:ilvl w:val="0"/>
          <w:numId w:val="28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 xml:space="preserve">Vorbereitung auf selbstständiges Arbeiten </w:t>
      </w:r>
    </w:p>
    <w:p w14:paraId="3D525A8C" w14:textId="77777777" w:rsidR="009D703F" w:rsidRPr="009D703F" w:rsidRDefault="009D703F" w:rsidP="009D703F">
      <w:pPr>
        <w:numPr>
          <w:ilvl w:val="0"/>
          <w:numId w:val="28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technische Vorbereitung</w:t>
      </w:r>
    </w:p>
    <w:p w14:paraId="1B687997" w14:textId="77777777" w:rsidR="009D703F" w:rsidRPr="009D703F" w:rsidRDefault="009D703F" w:rsidP="009D703F">
      <w:pPr>
        <w:numPr>
          <w:ilvl w:val="0"/>
          <w:numId w:val="28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soziale Vorbereitung (z.B. Einrichtung von Lerner-Teams – vgl. HR 3.2.4.2)</w:t>
      </w:r>
    </w:p>
    <w:p w14:paraId="120D4956" w14:textId="77777777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Organisation von Distanzunterricht</w:t>
      </w:r>
    </w:p>
    <w:p w14:paraId="22C3138E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Bereitstellung von Materialien</w:t>
      </w:r>
    </w:p>
    <w:p w14:paraId="30D1E19D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lastRenderedPageBreak/>
        <w:t>Herstellung von Verbindlichkeit (u.a. Kommunikation, Einreichung von Produkten)</w:t>
      </w:r>
    </w:p>
    <w:p w14:paraId="7EC91242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Absprachen im Kollegium</w:t>
      </w:r>
    </w:p>
    <w:p w14:paraId="02CE6019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Feedback und Beratung</w:t>
      </w:r>
    </w:p>
    <w:p w14:paraId="424944C5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Lernerfolgsüberprüfung und Leistungsbewertung (vgl. HR 3.5)</w:t>
      </w:r>
    </w:p>
    <w:p w14:paraId="0FE0216C" w14:textId="77777777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Plan für den Fall einer Schulschließung</w:t>
      </w:r>
    </w:p>
    <w:p w14:paraId="246EED46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Kommunikationswege zwischen Schulen und Elternhäusern</w:t>
      </w:r>
    </w:p>
    <w:p w14:paraId="4E916361" w14:textId="77777777" w:rsidR="009D703F" w:rsidRPr="009D703F" w:rsidRDefault="009D703F" w:rsidP="009D703F">
      <w:pPr>
        <w:numPr>
          <w:ilvl w:val="1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Festlegung von verbindlicher Kommunikation zwischen Lehrkräften und Eltern</w:t>
      </w:r>
    </w:p>
    <w:p w14:paraId="3A9E6EFC" w14:textId="77777777" w:rsidR="009D703F" w:rsidRPr="009D703F" w:rsidRDefault="009D703F" w:rsidP="009D703F">
      <w:pPr>
        <w:numPr>
          <w:ilvl w:val="1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 xml:space="preserve">Festlegung von verbindlicher Kommunikation zwischen Lehrkräften und </w:t>
      </w:r>
      <w:proofErr w:type="spellStart"/>
      <w:r w:rsidRPr="009D703F">
        <w:rPr>
          <w:sz w:val="24"/>
          <w:szCs w:val="24"/>
        </w:rPr>
        <w:t>SuS</w:t>
      </w:r>
      <w:proofErr w:type="spellEnd"/>
    </w:p>
    <w:p w14:paraId="6B147EDA" w14:textId="77777777" w:rsidR="009D703F" w:rsidRPr="009D703F" w:rsidRDefault="009D703F" w:rsidP="009D703F">
      <w:pPr>
        <w:numPr>
          <w:ilvl w:val="0"/>
          <w:numId w:val="24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 xml:space="preserve">weiterführende organisatorische Aspekte des Distanzunterrichts </w:t>
      </w:r>
    </w:p>
    <w:p w14:paraId="71A0081D" w14:textId="77777777" w:rsidR="00B4306A" w:rsidRDefault="00B4306A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  <w:sectPr w:rsidR="00B4306A" w:rsidSect="009D703F"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0C537213" w14:textId="0D6187B6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Aussagen zum Einsatz von Lehrkräften in Distanz</w:t>
      </w:r>
    </w:p>
    <w:p w14:paraId="784C068F" w14:textId="77777777" w:rsidR="009D703F" w:rsidRPr="009D703F" w:rsidRDefault="009D703F" w:rsidP="009D703F">
      <w:pPr>
        <w:numPr>
          <w:ilvl w:val="0"/>
          <w:numId w:val="25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Transparenz der Aufgaben (vgl. HR 3.2.5.1)</w:t>
      </w:r>
    </w:p>
    <w:p w14:paraId="17A49CFB" w14:textId="77777777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 xml:space="preserve">Aussagen zur Einbindung von einzelnen </w:t>
      </w:r>
      <w:proofErr w:type="spellStart"/>
      <w:r w:rsidRPr="009D703F">
        <w:rPr>
          <w:rFonts w:eastAsiaTheme="majorEastAsia" w:cstheme="majorBidi"/>
          <w:b/>
          <w:sz w:val="24"/>
          <w:szCs w:val="26"/>
        </w:rPr>
        <w:t>SuS</w:t>
      </w:r>
      <w:proofErr w:type="spellEnd"/>
      <w:r w:rsidRPr="009D703F">
        <w:rPr>
          <w:rFonts w:eastAsiaTheme="majorEastAsia" w:cstheme="majorBidi"/>
          <w:b/>
          <w:sz w:val="24"/>
          <w:szCs w:val="26"/>
        </w:rPr>
        <w:t xml:space="preserve"> in Distanz</w:t>
      </w:r>
    </w:p>
    <w:p w14:paraId="2126F492" w14:textId="77777777" w:rsidR="009D703F" w:rsidRPr="009D703F" w:rsidRDefault="009D703F" w:rsidP="009D703F">
      <w:pPr>
        <w:numPr>
          <w:ilvl w:val="0"/>
          <w:numId w:val="25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Möglichkeiten auf der Grundlage der individuellen Ausgangssituation der Schule (vgl. HR 3.2.5.2)</w:t>
      </w:r>
    </w:p>
    <w:p w14:paraId="6CC969C8" w14:textId="77777777" w:rsidR="00DB03BE" w:rsidRDefault="00DB03BE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  <w:sectPr w:rsidR="00DB03BE" w:rsidSect="009D703F">
          <w:footerReference w:type="default" r:id="rId10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6E813F08" w14:textId="5CC781BF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Kommunikation im Kollegium (vgl. HR 3.4.1)</w:t>
      </w:r>
    </w:p>
    <w:p w14:paraId="6F5C065F" w14:textId="77777777" w:rsidR="009D703F" w:rsidRPr="009D703F" w:rsidRDefault="009D703F" w:rsidP="009D703F">
      <w:pPr>
        <w:numPr>
          <w:ilvl w:val="0"/>
          <w:numId w:val="25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Teambildung (vgl. HR 3.2.4.1)</w:t>
      </w:r>
    </w:p>
    <w:p w14:paraId="386D5D14" w14:textId="77777777" w:rsidR="009D703F" w:rsidRPr="009D703F" w:rsidRDefault="009D703F" w:rsidP="009D703F">
      <w:pPr>
        <w:numPr>
          <w:ilvl w:val="0"/>
          <w:numId w:val="25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Gestaltung von Lehrerkonferenzen</w:t>
      </w:r>
    </w:p>
    <w:p w14:paraId="569897C3" w14:textId="77777777" w:rsidR="009D703F" w:rsidRPr="009D703F" w:rsidRDefault="009D703F" w:rsidP="009D703F">
      <w:pPr>
        <w:numPr>
          <w:ilvl w:val="0"/>
          <w:numId w:val="25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Gestaltung von Jahrgangs- und/oder Fachkonferenzen</w:t>
      </w:r>
    </w:p>
    <w:p w14:paraId="37030954" w14:textId="77777777" w:rsidR="009D703F" w:rsidRPr="009D703F" w:rsidRDefault="009D703F" w:rsidP="009D703F">
      <w:pPr>
        <w:numPr>
          <w:ilvl w:val="0"/>
          <w:numId w:val="25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Möglichkeiten eines kollegialen Erfahrungsaustauschs</w:t>
      </w:r>
    </w:p>
    <w:p w14:paraId="0A89AE2A" w14:textId="77777777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Sicherstellung der Kommunikation mit Eltern (vgl. HR 3.4.3)</w:t>
      </w:r>
    </w:p>
    <w:p w14:paraId="5EEB4225" w14:textId="77777777" w:rsidR="009D703F" w:rsidRPr="009D703F" w:rsidRDefault="009D703F" w:rsidP="009D703F">
      <w:pPr>
        <w:numPr>
          <w:ilvl w:val="0"/>
          <w:numId w:val="26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Information</w:t>
      </w:r>
    </w:p>
    <w:p w14:paraId="02556AD3" w14:textId="77777777" w:rsidR="009D703F" w:rsidRPr="009D703F" w:rsidRDefault="009D703F" w:rsidP="009D703F">
      <w:pPr>
        <w:numPr>
          <w:ilvl w:val="0"/>
          <w:numId w:val="26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Beratung</w:t>
      </w:r>
    </w:p>
    <w:p w14:paraId="21EFCAEA" w14:textId="1363FB1C" w:rsidR="009D703F" w:rsidRPr="009D703F" w:rsidRDefault="009D703F" w:rsidP="009D703F">
      <w:pPr>
        <w:keepNext/>
        <w:keepLines/>
        <w:spacing w:before="360" w:after="120"/>
        <w:outlineLvl w:val="1"/>
        <w:rPr>
          <w:rFonts w:eastAsiaTheme="majorEastAsia" w:cstheme="majorBidi"/>
          <w:b/>
          <w:sz w:val="24"/>
          <w:szCs w:val="26"/>
        </w:rPr>
      </w:pPr>
      <w:r w:rsidRPr="009D703F">
        <w:rPr>
          <w:rFonts w:eastAsiaTheme="majorEastAsia" w:cstheme="majorBidi"/>
          <w:b/>
          <w:sz w:val="24"/>
          <w:szCs w:val="26"/>
        </w:rPr>
        <w:t>Steuergruppe (vgl. HR 3.6)</w:t>
      </w:r>
    </w:p>
    <w:p w14:paraId="07483793" w14:textId="77777777" w:rsidR="009D703F" w:rsidRPr="009D703F" w:rsidRDefault="009D703F" w:rsidP="009D703F">
      <w:pPr>
        <w:numPr>
          <w:ilvl w:val="0"/>
          <w:numId w:val="27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Informationsfluss</w:t>
      </w:r>
    </w:p>
    <w:p w14:paraId="7888AE3B" w14:textId="77777777" w:rsidR="009D703F" w:rsidRPr="009D703F" w:rsidRDefault="009D703F" w:rsidP="009D703F">
      <w:pPr>
        <w:numPr>
          <w:ilvl w:val="0"/>
          <w:numId w:val="27"/>
        </w:numPr>
        <w:contextualSpacing/>
        <w:rPr>
          <w:sz w:val="24"/>
          <w:szCs w:val="24"/>
        </w:rPr>
      </w:pPr>
      <w:r w:rsidRPr="009D703F">
        <w:rPr>
          <w:sz w:val="24"/>
          <w:szCs w:val="24"/>
        </w:rPr>
        <w:t>prozessbegleitende Evaluation</w:t>
      </w:r>
    </w:p>
    <w:p w14:paraId="2E91179A" w14:textId="77777777" w:rsidR="009D703F" w:rsidRPr="009D703F" w:rsidRDefault="009D703F" w:rsidP="009D703F">
      <w:pPr>
        <w:rPr>
          <w:sz w:val="24"/>
          <w:szCs w:val="24"/>
        </w:rPr>
      </w:pPr>
    </w:p>
    <w:p w14:paraId="0F4346B1" w14:textId="77777777" w:rsidR="009D703F" w:rsidRPr="009D703F" w:rsidRDefault="009D703F" w:rsidP="009D703F">
      <w:pPr>
        <w:rPr>
          <w:sz w:val="24"/>
          <w:szCs w:val="24"/>
        </w:rPr>
      </w:pPr>
    </w:p>
    <w:p w14:paraId="67B11CCC" w14:textId="77777777" w:rsidR="005F6778" w:rsidRDefault="005F6778" w:rsidP="009D703F"/>
    <w:sectPr w:rsidR="005F6778" w:rsidSect="009D703F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5260" w14:textId="77777777" w:rsidR="00125262" w:rsidRDefault="00125262" w:rsidP="00125262">
      <w:pPr>
        <w:spacing w:after="0" w:line="240" w:lineRule="auto"/>
      </w:pPr>
      <w:r>
        <w:separator/>
      </w:r>
    </w:p>
  </w:endnote>
  <w:endnote w:type="continuationSeparator" w:id="0">
    <w:p w14:paraId="6DB38EFA" w14:textId="77777777" w:rsidR="00125262" w:rsidRDefault="00125262" w:rsidP="0012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14:paraId="127B4DFB" w14:textId="576ABDAA" w:rsidR="00125262" w:rsidRPr="009D703F" w:rsidRDefault="00B4306A" w:rsidP="00CB62D7">
        <w:pPr>
          <w:pStyle w:val="Fuzeile"/>
          <w:tabs>
            <w:tab w:val="clear" w:pos="9072"/>
            <w:tab w:val="right" w:pos="14570"/>
          </w:tabs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>Stundenplangestaltung</w:t>
        </w:r>
        <w:r w:rsidR="00CB62D7" w:rsidRPr="009D703F">
          <w:rPr>
            <w:rFonts w:cs="Arial"/>
            <w:szCs w:val="18"/>
          </w:rPr>
          <w:tab/>
        </w:r>
        <w:r w:rsidR="00CB62D7" w:rsidRPr="009D703F">
          <w:rPr>
            <w:rFonts w:cs="Arial"/>
            <w:szCs w:val="18"/>
          </w:rPr>
          <w:tab/>
        </w:r>
        <w:r w:rsidR="00CB62D7" w:rsidRPr="009D703F">
          <w:rPr>
            <w:rFonts w:cs="Arial"/>
            <w:sz w:val="18"/>
            <w:szCs w:val="18"/>
          </w:rPr>
          <w:fldChar w:fldCharType="begin"/>
        </w:r>
        <w:r w:rsidR="00CB62D7" w:rsidRPr="009D703F">
          <w:rPr>
            <w:rFonts w:cs="Arial"/>
            <w:sz w:val="18"/>
            <w:szCs w:val="18"/>
          </w:rPr>
          <w:instrText>PAGE   \* MERGEFORMAT</w:instrText>
        </w:r>
        <w:r w:rsidR="00CB62D7" w:rsidRPr="009D703F">
          <w:rPr>
            <w:rFonts w:cs="Arial"/>
            <w:sz w:val="18"/>
            <w:szCs w:val="18"/>
          </w:rPr>
          <w:fldChar w:fldCharType="separate"/>
        </w:r>
        <w:r w:rsidR="00CF0671" w:rsidRPr="00CF0671">
          <w:rPr>
            <w:rFonts w:cs="Arial"/>
            <w:noProof/>
            <w:szCs w:val="18"/>
          </w:rPr>
          <w:t>1</w:t>
        </w:r>
        <w:r w:rsidR="00CB62D7" w:rsidRPr="009D703F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855542318"/>
      <w:docPartObj>
        <w:docPartGallery w:val="Page Numbers (Bottom of Page)"/>
        <w:docPartUnique/>
      </w:docPartObj>
    </w:sdtPr>
    <w:sdtContent>
      <w:p w14:paraId="2EE8A86E" w14:textId="4F674271" w:rsidR="00B4306A" w:rsidRPr="009D703F" w:rsidRDefault="00B4306A" w:rsidP="00CB62D7">
        <w:pPr>
          <w:pStyle w:val="Fuzeile"/>
          <w:tabs>
            <w:tab w:val="clear" w:pos="9072"/>
            <w:tab w:val="right" w:pos="14570"/>
          </w:tabs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>Distanzunterricht</w:t>
        </w:r>
        <w:r w:rsidRPr="009D703F">
          <w:rPr>
            <w:rFonts w:cs="Arial"/>
            <w:szCs w:val="18"/>
          </w:rPr>
          <w:tab/>
        </w:r>
        <w:r w:rsidRPr="009D703F">
          <w:rPr>
            <w:rFonts w:cs="Arial"/>
            <w:szCs w:val="18"/>
          </w:rPr>
          <w:tab/>
        </w:r>
        <w:r w:rsidRPr="009D703F">
          <w:rPr>
            <w:rFonts w:cs="Arial"/>
            <w:sz w:val="18"/>
            <w:szCs w:val="18"/>
          </w:rPr>
          <w:fldChar w:fldCharType="begin"/>
        </w:r>
        <w:r w:rsidRPr="009D703F">
          <w:rPr>
            <w:rFonts w:cs="Arial"/>
            <w:sz w:val="18"/>
            <w:szCs w:val="18"/>
          </w:rPr>
          <w:instrText>PAGE   \* MERGEFORMAT</w:instrText>
        </w:r>
        <w:r w:rsidRPr="009D703F">
          <w:rPr>
            <w:rFonts w:cs="Arial"/>
            <w:sz w:val="18"/>
            <w:szCs w:val="18"/>
          </w:rPr>
          <w:fldChar w:fldCharType="separate"/>
        </w:r>
        <w:r w:rsidR="00DB03BE" w:rsidRPr="00DB03BE">
          <w:rPr>
            <w:rFonts w:cs="Arial"/>
            <w:noProof/>
            <w:szCs w:val="18"/>
          </w:rPr>
          <w:t>2</w:t>
        </w:r>
        <w:r w:rsidRPr="009D703F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399484574"/>
      <w:docPartObj>
        <w:docPartGallery w:val="Page Numbers (Bottom of Page)"/>
        <w:docPartUnique/>
      </w:docPartObj>
    </w:sdtPr>
    <w:sdtContent>
      <w:p w14:paraId="2E0C69D9" w14:textId="41018F01" w:rsidR="00B4306A" w:rsidRPr="009D703F" w:rsidRDefault="00DB03BE" w:rsidP="00CB62D7">
        <w:pPr>
          <w:pStyle w:val="Fuzeile"/>
          <w:tabs>
            <w:tab w:val="clear" w:pos="9072"/>
            <w:tab w:val="right" w:pos="14570"/>
          </w:tabs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>Einbindung von Lehrenden und Lernenden mit attestierter individueller Risikoeinschätzung</w:t>
        </w:r>
        <w:r w:rsidR="00B4306A" w:rsidRPr="009D703F">
          <w:rPr>
            <w:rFonts w:cs="Arial"/>
            <w:szCs w:val="18"/>
          </w:rPr>
          <w:tab/>
        </w:r>
        <w:r w:rsidR="00B4306A" w:rsidRPr="009D703F">
          <w:rPr>
            <w:rFonts w:cs="Arial"/>
            <w:sz w:val="18"/>
            <w:szCs w:val="18"/>
          </w:rPr>
          <w:fldChar w:fldCharType="begin"/>
        </w:r>
        <w:r w:rsidR="00B4306A" w:rsidRPr="009D703F">
          <w:rPr>
            <w:rFonts w:cs="Arial"/>
            <w:sz w:val="18"/>
            <w:szCs w:val="18"/>
          </w:rPr>
          <w:instrText>PAGE   \* MERGEFORMAT</w:instrText>
        </w:r>
        <w:r w:rsidR="00B4306A" w:rsidRPr="009D703F">
          <w:rPr>
            <w:rFonts w:cs="Arial"/>
            <w:sz w:val="18"/>
            <w:szCs w:val="18"/>
          </w:rPr>
          <w:fldChar w:fldCharType="separate"/>
        </w:r>
        <w:r w:rsidRPr="00DB03BE">
          <w:rPr>
            <w:rFonts w:cs="Arial"/>
            <w:noProof/>
            <w:szCs w:val="18"/>
          </w:rPr>
          <w:t>3</w:t>
        </w:r>
        <w:r w:rsidR="00B4306A" w:rsidRPr="009D703F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717897184"/>
      <w:docPartObj>
        <w:docPartGallery w:val="Page Numbers (Bottom of Page)"/>
        <w:docPartUnique/>
      </w:docPartObj>
    </w:sdtPr>
    <w:sdtContent>
      <w:p w14:paraId="2613C897" w14:textId="609097F7" w:rsidR="00DB03BE" w:rsidRPr="009D703F" w:rsidRDefault="00DB03BE" w:rsidP="00CB62D7">
        <w:pPr>
          <w:pStyle w:val="Fuzeile"/>
          <w:tabs>
            <w:tab w:val="clear" w:pos="9072"/>
            <w:tab w:val="right" w:pos="14570"/>
          </w:tabs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>Kommunikation</w:t>
        </w:r>
        <w:r>
          <w:rPr>
            <w:rFonts w:cs="Arial"/>
            <w:sz w:val="18"/>
            <w:szCs w:val="18"/>
          </w:rPr>
          <w:tab/>
        </w:r>
        <w:r w:rsidRPr="009D703F">
          <w:rPr>
            <w:rFonts w:cs="Arial"/>
            <w:szCs w:val="18"/>
          </w:rPr>
          <w:tab/>
        </w:r>
        <w:r w:rsidRPr="009D703F">
          <w:rPr>
            <w:rFonts w:cs="Arial"/>
            <w:sz w:val="18"/>
            <w:szCs w:val="18"/>
          </w:rPr>
          <w:fldChar w:fldCharType="begin"/>
        </w:r>
        <w:r w:rsidRPr="009D703F">
          <w:rPr>
            <w:rFonts w:cs="Arial"/>
            <w:sz w:val="18"/>
            <w:szCs w:val="18"/>
          </w:rPr>
          <w:instrText>PAGE   \* MERGEFORMAT</w:instrText>
        </w:r>
        <w:r w:rsidRPr="009D703F">
          <w:rPr>
            <w:rFonts w:cs="Arial"/>
            <w:sz w:val="18"/>
            <w:szCs w:val="18"/>
          </w:rPr>
          <w:fldChar w:fldCharType="separate"/>
        </w:r>
        <w:r w:rsidRPr="00DB03BE">
          <w:rPr>
            <w:rFonts w:cs="Arial"/>
            <w:noProof/>
            <w:szCs w:val="18"/>
          </w:rPr>
          <w:t>4</w:t>
        </w:r>
        <w:r w:rsidRPr="009D703F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C18A" w14:textId="77777777" w:rsidR="00125262" w:rsidRDefault="00125262" w:rsidP="00125262">
      <w:pPr>
        <w:spacing w:after="0" w:line="240" w:lineRule="auto"/>
      </w:pPr>
      <w:r>
        <w:separator/>
      </w:r>
    </w:p>
  </w:footnote>
  <w:footnote w:type="continuationSeparator" w:id="0">
    <w:p w14:paraId="448EF538" w14:textId="77777777" w:rsidR="00125262" w:rsidRDefault="00125262" w:rsidP="0012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6099" w14:textId="1E2D3D88" w:rsidR="009D703F" w:rsidRDefault="00B4306A">
    <w:pPr>
      <w:pStyle w:val="Kopfzeile"/>
    </w:pPr>
    <w:r w:rsidRPr="009D703F">
      <w:rPr>
        <w:rFonts w:cs="Arial"/>
        <w:sz w:val="18"/>
        <w:szCs w:val="18"/>
      </w:rPr>
      <w:t>Pädagogischer und organisatorischer Plan</w:t>
    </w:r>
    <w:r>
      <w:rPr>
        <w:noProof/>
        <w:lang w:eastAsia="de-DE"/>
      </w:rPr>
      <w:t xml:space="preserve"> </w:t>
    </w:r>
    <w:r w:rsidR="009D703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6F3DCF4" wp14:editId="7E48A6B9">
          <wp:simplePos x="0" y="0"/>
          <wp:positionH relativeFrom="column">
            <wp:posOffset>4136390</wp:posOffset>
          </wp:positionH>
          <wp:positionV relativeFrom="paragraph">
            <wp:posOffset>-207645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1" name="Grafik 11" title="Logo der Qualitäts- und UnterstützungsAgentur - Landesinstitut für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A46"/>
    <w:multiLevelType w:val="hybridMultilevel"/>
    <w:tmpl w:val="E25C6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FCE"/>
    <w:multiLevelType w:val="hybridMultilevel"/>
    <w:tmpl w:val="2E0CD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2138A"/>
    <w:multiLevelType w:val="hybridMultilevel"/>
    <w:tmpl w:val="763E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C710C"/>
    <w:multiLevelType w:val="hybridMultilevel"/>
    <w:tmpl w:val="71CC2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2E2E"/>
    <w:multiLevelType w:val="hybridMultilevel"/>
    <w:tmpl w:val="E59424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3A63"/>
    <w:multiLevelType w:val="hybridMultilevel"/>
    <w:tmpl w:val="6D82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66E9"/>
    <w:multiLevelType w:val="hybridMultilevel"/>
    <w:tmpl w:val="3F0405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0619C"/>
    <w:multiLevelType w:val="hybridMultilevel"/>
    <w:tmpl w:val="C3B2F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3233D"/>
    <w:multiLevelType w:val="hybridMultilevel"/>
    <w:tmpl w:val="180C09A2"/>
    <w:lvl w:ilvl="0" w:tplc="0590B6A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443F"/>
    <w:multiLevelType w:val="hybridMultilevel"/>
    <w:tmpl w:val="892E2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B1CA0"/>
    <w:multiLevelType w:val="hybridMultilevel"/>
    <w:tmpl w:val="1C844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71C66"/>
    <w:multiLevelType w:val="hybridMultilevel"/>
    <w:tmpl w:val="4F249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E0D53"/>
    <w:multiLevelType w:val="hybridMultilevel"/>
    <w:tmpl w:val="B5A27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936E8"/>
    <w:multiLevelType w:val="hybridMultilevel"/>
    <w:tmpl w:val="3342D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B70F8"/>
    <w:multiLevelType w:val="hybridMultilevel"/>
    <w:tmpl w:val="35A8E4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D0D33"/>
    <w:multiLevelType w:val="hybridMultilevel"/>
    <w:tmpl w:val="139A81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26051"/>
    <w:multiLevelType w:val="hybridMultilevel"/>
    <w:tmpl w:val="B9BC0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F38C0"/>
    <w:multiLevelType w:val="hybridMultilevel"/>
    <w:tmpl w:val="AA7E3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F42F1"/>
    <w:multiLevelType w:val="hybridMultilevel"/>
    <w:tmpl w:val="AB509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5"/>
  </w:num>
  <w:num w:numId="7">
    <w:abstractNumId w:val="22"/>
  </w:num>
  <w:num w:numId="8">
    <w:abstractNumId w:val="19"/>
  </w:num>
  <w:num w:numId="9">
    <w:abstractNumId w:val="17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23"/>
  </w:num>
  <w:num w:numId="15">
    <w:abstractNumId w:val="8"/>
  </w:num>
  <w:num w:numId="16">
    <w:abstractNumId w:val="18"/>
  </w:num>
  <w:num w:numId="17">
    <w:abstractNumId w:val="12"/>
  </w:num>
  <w:num w:numId="18">
    <w:abstractNumId w:val="5"/>
  </w:num>
  <w:num w:numId="19">
    <w:abstractNumId w:val="16"/>
  </w:num>
  <w:num w:numId="20">
    <w:abstractNumId w:val="15"/>
  </w:num>
  <w:num w:numId="21">
    <w:abstractNumId w:val="21"/>
  </w:num>
  <w:num w:numId="22">
    <w:abstractNumId w:val="11"/>
  </w:num>
  <w:num w:numId="23">
    <w:abstractNumId w:val="2"/>
  </w:num>
  <w:num w:numId="24">
    <w:abstractNumId w:val="9"/>
  </w:num>
  <w:num w:numId="25">
    <w:abstractNumId w:val="0"/>
  </w:num>
  <w:num w:numId="26">
    <w:abstractNumId w:val="7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97"/>
    <w:rsid w:val="00004883"/>
    <w:rsid w:val="00013FFC"/>
    <w:rsid w:val="0002158B"/>
    <w:rsid w:val="00052ADC"/>
    <w:rsid w:val="000A04D7"/>
    <w:rsid w:val="000A2246"/>
    <w:rsid w:val="000C2D34"/>
    <w:rsid w:val="000D0C1E"/>
    <w:rsid w:val="00103DBC"/>
    <w:rsid w:val="001109E0"/>
    <w:rsid w:val="00113CAE"/>
    <w:rsid w:val="00125262"/>
    <w:rsid w:val="00131D7C"/>
    <w:rsid w:val="00134F2C"/>
    <w:rsid w:val="0014195F"/>
    <w:rsid w:val="00183E17"/>
    <w:rsid w:val="001843F3"/>
    <w:rsid w:val="00190B8E"/>
    <w:rsid w:val="0019362F"/>
    <w:rsid w:val="001B560D"/>
    <w:rsid w:val="001E39EA"/>
    <w:rsid w:val="001E5C09"/>
    <w:rsid w:val="001F0AF5"/>
    <w:rsid w:val="00213BB4"/>
    <w:rsid w:val="00244038"/>
    <w:rsid w:val="00253A69"/>
    <w:rsid w:val="00282111"/>
    <w:rsid w:val="002A0701"/>
    <w:rsid w:val="002A71BD"/>
    <w:rsid w:val="002C32F7"/>
    <w:rsid w:val="002D1780"/>
    <w:rsid w:val="00323EEF"/>
    <w:rsid w:val="00391954"/>
    <w:rsid w:val="003A09D1"/>
    <w:rsid w:val="003A2FD1"/>
    <w:rsid w:val="003D6742"/>
    <w:rsid w:val="003F73E4"/>
    <w:rsid w:val="004020E9"/>
    <w:rsid w:val="00410A28"/>
    <w:rsid w:val="00421489"/>
    <w:rsid w:val="00424AE6"/>
    <w:rsid w:val="00425AEA"/>
    <w:rsid w:val="00434800"/>
    <w:rsid w:val="00443ACB"/>
    <w:rsid w:val="00444535"/>
    <w:rsid w:val="004502AA"/>
    <w:rsid w:val="00455502"/>
    <w:rsid w:val="00465265"/>
    <w:rsid w:val="00484AC9"/>
    <w:rsid w:val="00487243"/>
    <w:rsid w:val="0049332E"/>
    <w:rsid w:val="004B3D45"/>
    <w:rsid w:val="00530607"/>
    <w:rsid w:val="00545707"/>
    <w:rsid w:val="00591652"/>
    <w:rsid w:val="005A5F3E"/>
    <w:rsid w:val="005A746C"/>
    <w:rsid w:val="005B365E"/>
    <w:rsid w:val="005B4024"/>
    <w:rsid w:val="005C4A0B"/>
    <w:rsid w:val="005D2CD7"/>
    <w:rsid w:val="005F6778"/>
    <w:rsid w:val="006348E2"/>
    <w:rsid w:val="00642465"/>
    <w:rsid w:val="00653F8C"/>
    <w:rsid w:val="006A1AF0"/>
    <w:rsid w:val="006C0A4E"/>
    <w:rsid w:val="006D0291"/>
    <w:rsid w:val="006D75DB"/>
    <w:rsid w:val="006F2E12"/>
    <w:rsid w:val="00705271"/>
    <w:rsid w:val="00711CF4"/>
    <w:rsid w:val="00737EB9"/>
    <w:rsid w:val="00747E98"/>
    <w:rsid w:val="00765114"/>
    <w:rsid w:val="007A5B4E"/>
    <w:rsid w:val="007A7C16"/>
    <w:rsid w:val="007C52C4"/>
    <w:rsid w:val="007F1C2D"/>
    <w:rsid w:val="00802D91"/>
    <w:rsid w:val="00814E36"/>
    <w:rsid w:val="008163F3"/>
    <w:rsid w:val="0082235A"/>
    <w:rsid w:val="0082495F"/>
    <w:rsid w:val="0084022D"/>
    <w:rsid w:val="00842437"/>
    <w:rsid w:val="00842F8C"/>
    <w:rsid w:val="00891485"/>
    <w:rsid w:val="008B1437"/>
    <w:rsid w:val="008C25CF"/>
    <w:rsid w:val="008C7E70"/>
    <w:rsid w:val="008E7D8F"/>
    <w:rsid w:val="008F7446"/>
    <w:rsid w:val="00964897"/>
    <w:rsid w:val="0096798E"/>
    <w:rsid w:val="009D3BF9"/>
    <w:rsid w:val="009D703F"/>
    <w:rsid w:val="009D7A98"/>
    <w:rsid w:val="009F74F2"/>
    <w:rsid w:val="00A13F6C"/>
    <w:rsid w:val="00A33340"/>
    <w:rsid w:val="00A73592"/>
    <w:rsid w:val="00A76CE8"/>
    <w:rsid w:val="00A86478"/>
    <w:rsid w:val="00A914AB"/>
    <w:rsid w:val="00A94D8C"/>
    <w:rsid w:val="00AB07C9"/>
    <w:rsid w:val="00AB0B0C"/>
    <w:rsid w:val="00AB7AC6"/>
    <w:rsid w:val="00B12235"/>
    <w:rsid w:val="00B12C3A"/>
    <w:rsid w:val="00B16CC1"/>
    <w:rsid w:val="00B4306A"/>
    <w:rsid w:val="00B47BCF"/>
    <w:rsid w:val="00B539FA"/>
    <w:rsid w:val="00B73226"/>
    <w:rsid w:val="00B923FD"/>
    <w:rsid w:val="00BA6A78"/>
    <w:rsid w:val="00BB1F66"/>
    <w:rsid w:val="00BB5565"/>
    <w:rsid w:val="00BD4696"/>
    <w:rsid w:val="00BD48BD"/>
    <w:rsid w:val="00C27618"/>
    <w:rsid w:val="00C664C5"/>
    <w:rsid w:val="00CA085F"/>
    <w:rsid w:val="00CB280B"/>
    <w:rsid w:val="00CB62D7"/>
    <w:rsid w:val="00CF0671"/>
    <w:rsid w:val="00CF2562"/>
    <w:rsid w:val="00D5736D"/>
    <w:rsid w:val="00D972DF"/>
    <w:rsid w:val="00DA1A80"/>
    <w:rsid w:val="00DA51B1"/>
    <w:rsid w:val="00DB03BE"/>
    <w:rsid w:val="00DD5696"/>
    <w:rsid w:val="00DF7397"/>
    <w:rsid w:val="00E078D8"/>
    <w:rsid w:val="00E17B38"/>
    <w:rsid w:val="00E20380"/>
    <w:rsid w:val="00E24613"/>
    <w:rsid w:val="00E24F59"/>
    <w:rsid w:val="00E37079"/>
    <w:rsid w:val="00E71F9E"/>
    <w:rsid w:val="00E83CD8"/>
    <w:rsid w:val="00EC7663"/>
    <w:rsid w:val="00ED20DD"/>
    <w:rsid w:val="00ED2D92"/>
    <w:rsid w:val="00F22A6A"/>
    <w:rsid w:val="00F25C20"/>
    <w:rsid w:val="00F44421"/>
    <w:rsid w:val="00F521B7"/>
    <w:rsid w:val="00F6543C"/>
    <w:rsid w:val="00F735B9"/>
    <w:rsid w:val="00FC16C3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E9C0B2"/>
  <w15:docId w15:val="{19391C44-EAA4-4075-8CE5-C83F0EB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778"/>
    <w:pPr>
      <w:spacing w:after="200" w:line="276" w:lineRule="auto"/>
      <w:jc w:val="left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5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13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FFC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F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778"/>
    <w:rPr>
      <w:rFonts w:cstheme="minorBidi"/>
    </w:rPr>
  </w:style>
  <w:style w:type="paragraph" w:styleId="Listenabsatz">
    <w:name w:val="List Paragraph"/>
    <w:basedOn w:val="Standard"/>
    <w:uiPriority w:val="34"/>
    <w:qFormat/>
    <w:rsid w:val="005F6778"/>
    <w:pPr>
      <w:numPr>
        <w:numId w:val="1"/>
      </w:numPr>
      <w:contextualSpacing/>
      <w:jc w:val="both"/>
    </w:pPr>
  </w:style>
  <w:style w:type="character" w:styleId="Hyperlink">
    <w:name w:val="Hyperlink"/>
    <w:basedOn w:val="Absatz-Standardschriftart"/>
    <w:uiPriority w:val="99"/>
    <w:unhideWhenUsed/>
    <w:rsid w:val="004445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E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E17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E17"/>
    <w:rPr>
      <w:rFonts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1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52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12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262"/>
    <w:rPr>
      <w:rFonts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1843F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DA1A80"/>
    <w:pPr>
      <w:spacing w:before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A1A80"/>
    <w:rPr>
      <w:rFonts w:cstheme="minorBidi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DA1A80"/>
    <w:pPr>
      <w:spacing w:before="120"/>
    </w:pPr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A1A80"/>
    <w:rPr>
      <w:rFonts w:cstheme="minorBidi"/>
      <w:sz w:val="18"/>
      <w:szCs w:val="18"/>
    </w:rPr>
  </w:style>
  <w:style w:type="paragraph" w:styleId="Textkrper3">
    <w:name w:val="Body Text 3"/>
    <w:basedOn w:val="Standard"/>
    <w:link w:val="Textkrper3Zchn"/>
    <w:uiPriority w:val="99"/>
    <w:unhideWhenUsed/>
    <w:rsid w:val="00E24F59"/>
    <w:pPr>
      <w:spacing w:after="0" w:line="240" w:lineRule="auto"/>
    </w:pPr>
    <w:rPr>
      <w:rFonts w:cs="Arial"/>
      <w:b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24F59"/>
    <w:rPr>
      <w:b/>
      <w:sz w:val="20"/>
      <w:szCs w:val="20"/>
    </w:rPr>
  </w:style>
  <w:style w:type="paragraph" w:customStyle="1" w:styleId="Aufzhlung">
    <w:name w:val="Aufzählung"/>
    <w:basedOn w:val="Listenabsatz"/>
    <w:qFormat/>
    <w:rsid w:val="00E24F59"/>
    <w:pPr>
      <w:numPr>
        <w:numId w:val="22"/>
      </w:numPr>
      <w:spacing w:after="0"/>
      <w:ind w:left="313" w:hanging="323"/>
      <w:jc w:val="left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9D703F"/>
    <w:pPr>
      <w:ind w:left="720"/>
      <w:contextualSpacing/>
      <w:jc w:val="center"/>
    </w:pPr>
    <w:rPr>
      <w:i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D703F"/>
    <w:rPr>
      <w:rFonts w:cstheme="min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3089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2020-07-14T06:07:00Z</cp:lastPrinted>
  <dcterms:created xsi:type="dcterms:W3CDTF">2020-08-17T07:16:00Z</dcterms:created>
  <dcterms:modified xsi:type="dcterms:W3CDTF">2020-08-17T09:04:00Z</dcterms:modified>
</cp:coreProperties>
</file>