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B4EE3" w14:textId="78FE56A5" w:rsidR="00236173" w:rsidRPr="002D2609" w:rsidRDefault="002D2609" w:rsidP="002D2609">
      <w:pPr>
        <w:jc w:val="both"/>
        <w:rPr>
          <w:rFonts w:cstheme="minorHAnsi"/>
          <w:b/>
          <w:bCs/>
          <w:sz w:val="28"/>
          <w:szCs w:val="28"/>
        </w:rPr>
      </w:pPr>
      <w:r>
        <w:rPr>
          <w:rFonts w:cstheme="minorHAnsi"/>
          <w:b/>
          <w:bCs/>
          <w:sz w:val="28"/>
          <w:szCs w:val="28"/>
        </w:rPr>
        <w:t>Didaktisches</w:t>
      </w:r>
      <w:r w:rsidR="003D49B8" w:rsidRPr="006A1FDF">
        <w:rPr>
          <w:rFonts w:cstheme="minorHAnsi"/>
          <w:b/>
          <w:bCs/>
          <w:sz w:val="28"/>
          <w:szCs w:val="28"/>
        </w:rPr>
        <w:t xml:space="preserve"> Potenzial digitaler Medien im Kunstunterricht</w:t>
      </w:r>
      <w:r>
        <w:rPr>
          <w:rFonts w:cstheme="minorHAnsi"/>
          <w:b/>
          <w:bCs/>
          <w:sz w:val="28"/>
          <w:szCs w:val="28"/>
        </w:rPr>
        <w:t xml:space="preserve"> –</w:t>
      </w:r>
      <w:r w:rsidR="0004512B">
        <w:rPr>
          <w:rFonts w:cstheme="minorHAnsi"/>
          <w:b/>
          <w:bCs/>
          <w:sz w:val="28"/>
          <w:szCs w:val="28"/>
        </w:rPr>
        <w:t xml:space="preserve"> Grundlagen</w:t>
      </w:r>
    </w:p>
    <w:p w14:paraId="3FCE1FA0" w14:textId="77777777" w:rsidR="002D2609" w:rsidRPr="002D2609" w:rsidRDefault="002D2609" w:rsidP="00682D98">
      <w:pPr>
        <w:pStyle w:val="Listenabsatz"/>
        <w:jc w:val="both"/>
        <w:rPr>
          <w:b/>
          <w:u w:val="single"/>
        </w:rPr>
      </w:pPr>
    </w:p>
    <w:p w14:paraId="61A009B3" w14:textId="77777777" w:rsidR="00F850F3" w:rsidRPr="00991968" w:rsidRDefault="0054583D" w:rsidP="00682D98">
      <w:pPr>
        <w:pStyle w:val="Listenabsatz"/>
        <w:jc w:val="both"/>
      </w:pPr>
      <w:r w:rsidRPr="00991968">
        <w:t>Ziel des</w:t>
      </w:r>
      <w:r w:rsidR="00F850F3" w:rsidRPr="00991968">
        <w:t xml:space="preserve"> Kunstunterricht</w:t>
      </w:r>
      <w:r w:rsidRPr="00991968">
        <w:t>s</w:t>
      </w:r>
      <w:r w:rsidR="00F850F3" w:rsidRPr="00991968">
        <w:t xml:space="preserve"> ist</w:t>
      </w:r>
      <w:r w:rsidR="00BD2836" w:rsidRPr="00991968">
        <w:t xml:space="preserve"> </w:t>
      </w:r>
      <w:r w:rsidR="002D6922" w:rsidRPr="00991968">
        <w:t xml:space="preserve">die Entwicklung und Förderung von </w:t>
      </w:r>
      <w:r w:rsidR="00BD2836" w:rsidRPr="00991968">
        <w:t xml:space="preserve">Bildkompetenz. </w:t>
      </w:r>
    </w:p>
    <w:p w14:paraId="53A10A4B" w14:textId="0158CC32" w:rsidR="001C1251" w:rsidRPr="00991968" w:rsidRDefault="00F850F3" w:rsidP="00682D98">
      <w:pPr>
        <w:pStyle w:val="Listenabsatz"/>
        <w:jc w:val="both"/>
      </w:pPr>
      <w:r w:rsidRPr="00991968">
        <w:t xml:space="preserve">Bildkompetenz und Medienkompetenz </w:t>
      </w:r>
      <w:r w:rsidR="002D6922" w:rsidRPr="00991968">
        <w:t>entwickeln sich im we</w:t>
      </w:r>
      <w:r w:rsidR="001C1251" w:rsidRPr="00991968">
        <w:t xml:space="preserve">chselseitigen Bezug. Medienkompetenz umfasst hierbei digitale und analoge Aspekte. Der sinnvolle Einsatz von Medien ist grundlegend an ihrem </w:t>
      </w:r>
      <w:r w:rsidR="00141119">
        <w:t>didaktischen</w:t>
      </w:r>
      <w:r w:rsidR="00BD2836" w:rsidRPr="00991968">
        <w:t xml:space="preserve"> Potenzial </w:t>
      </w:r>
      <w:r w:rsidR="00EB5ED2">
        <w:t xml:space="preserve">zu bemessen und richtet </w:t>
      </w:r>
      <w:r w:rsidR="00991CE2">
        <w:t>sich nach den Vorgaben de</w:t>
      </w:r>
      <w:r w:rsidR="00E87458">
        <w:t xml:space="preserve">s </w:t>
      </w:r>
      <w:hyperlink r:id="rId9" w:history="1">
        <w:r w:rsidR="00E87458" w:rsidRPr="00F24D50">
          <w:rPr>
            <w:rStyle w:val="Hyperlink"/>
          </w:rPr>
          <w:t>Lehrplans der Primarstufe, de</w:t>
        </w:r>
        <w:r w:rsidR="002C3405">
          <w:rPr>
            <w:rStyle w:val="Hyperlink"/>
          </w:rPr>
          <w:t>r</w:t>
        </w:r>
        <w:r w:rsidR="00991CE2" w:rsidRPr="00F24D50">
          <w:rPr>
            <w:rStyle w:val="Hyperlink"/>
          </w:rPr>
          <w:t xml:space="preserve"> Kernlehrpläne</w:t>
        </w:r>
        <w:r w:rsidR="00E87458" w:rsidRPr="00F24D50">
          <w:rPr>
            <w:rStyle w:val="Hyperlink"/>
          </w:rPr>
          <w:t xml:space="preserve"> der weiterführenden Schulen (SI und SII)</w:t>
        </w:r>
      </w:hyperlink>
      <w:r w:rsidR="00F24D50">
        <w:rPr>
          <w:color w:val="FF0000"/>
        </w:rPr>
        <w:t xml:space="preserve"> </w:t>
      </w:r>
      <w:r w:rsidR="00991CE2">
        <w:t xml:space="preserve">sowie des </w:t>
      </w:r>
      <w:hyperlink r:id="rId10" w:history="1">
        <w:r w:rsidR="00991CE2" w:rsidRPr="00F24D50">
          <w:rPr>
            <w:rStyle w:val="Hyperlink"/>
          </w:rPr>
          <w:t>Medienkompetenzrahmens NRW</w:t>
        </w:r>
      </w:hyperlink>
      <w:r w:rsidR="00991CE2">
        <w:t>.</w:t>
      </w:r>
    </w:p>
    <w:p w14:paraId="6414B928" w14:textId="0C338844" w:rsidR="00682D98" w:rsidRPr="00991968" w:rsidRDefault="001C1251" w:rsidP="00682D98">
      <w:pPr>
        <w:pStyle w:val="Listenabsatz"/>
        <w:jc w:val="both"/>
      </w:pPr>
      <w:r w:rsidRPr="00991968">
        <w:t>In diesem Zusammenhang kommt den digitalen Medien eine besondere Bedeutung zu. Vor allem ermöglichen sinnvoll eingesetzte digitale Medien eine stärkere individuelle Förderung durch selbstgesteuertes und problem</w:t>
      </w:r>
      <w:r w:rsidR="00682D98" w:rsidRPr="00991968">
        <w:t>orientiertes</w:t>
      </w:r>
      <w:r w:rsidRPr="00991968">
        <w:t xml:space="preserve"> b</w:t>
      </w:r>
      <w:r w:rsidR="00B0597B" w:rsidRPr="00991968">
        <w:t xml:space="preserve">zw. </w:t>
      </w:r>
      <w:r w:rsidRPr="00991968">
        <w:t>kollaborativ</w:t>
      </w:r>
      <w:r w:rsidR="00814552">
        <w:t>es und</w:t>
      </w:r>
      <w:r w:rsidR="000613B8">
        <w:t xml:space="preserve"> </w:t>
      </w:r>
      <w:r w:rsidRPr="00991968">
        <w:t>projektorientiertes Lernen.</w:t>
      </w:r>
      <w:r w:rsidR="00682D98" w:rsidRPr="00991968">
        <w:t xml:space="preserve"> </w:t>
      </w:r>
    </w:p>
    <w:p w14:paraId="0A10328A" w14:textId="031E9640" w:rsidR="00EC163C" w:rsidRDefault="00682D98" w:rsidP="004B5A72">
      <w:pPr>
        <w:pStyle w:val="Listenabsatz"/>
        <w:jc w:val="both"/>
      </w:pPr>
      <w:r w:rsidRPr="00991968">
        <w:t>Entsprechend der Kernlehrpläne</w:t>
      </w:r>
      <w:r w:rsidR="000613B8">
        <w:t xml:space="preserve"> </w:t>
      </w:r>
      <w:r w:rsidRPr="00991968">
        <w:t>wird die übergeordnete fachliche Kompetenz (Bildkompetenz) durch die Kompetenzbereiche Produktion und Rezeption sowie die Inhaltsfelder Bildgestaltung</w:t>
      </w:r>
      <w:r w:rsidR="002C3405">
        <w:t xml:space="preserve"> und </w:t>
      </w:r>
      <w:r w:rsidRPr="00991968">
        <w:t xml:space="preserve">Bildkonzepte (sowie Gestaltungsfelder in Funktionszusammenhängen) </w:t>
      </w:r>
      <w:r w:rsidR="002C3405">
        <w:t>sowie</w:t>
      </w:r>
      <w:r w:rsidR="00B530F7" w:rsidRPr="00991968">
        <w:t xml:space="preserve"> die sich daraus generierenden Kompetenzerwartungen </w:t>
      </w:r>
      <w:r w:rsidRPr="00991968">
        <w:t xml:space="preserve">erreicht. Digitale Medien bieten </w:t>
      </w:r>
      <w:r w:rsidR="00EC14C2" w:rsidRPr="00991968">
        <w:t xml:space="preserve">im Kunstunterricht </w:t>
      </w:r>
      <w:r w:rsidR="005D1E80" w:rsidRPr="00991968">
        <w:t xml:space="preserve">diesbezüglich </w:t>
      </w:r>
      <w:r w:rsidR="004122F8" w:rsidRPr="00991968">
        <w:t>–</w:t>
      </w:r>
      <w:r w:rsidR="00B530F7" w:rsidRPr="00991968">
        <w:t xml:space="preserve"> </w:t>
      </w:r>
      <w:r w:rsidRPr="00991968">
        <w:t>im Ko</w:t>
      </w:r>
      <w:r w:rsidR="006B09AF" w:rsidRPr="00991968">
        <w:t xml:space="preserve">ntext ihres </w:t>
      </w:r>
      <w:r w:rsidR="00C156B8">
        <w:t xml:space="preserve">didaktischen </w:t>
      </w:r>
      <w:r w:rsidR="006B09AF" w:rsidRPr="00991968">
        <w:t>Potenz</w:t>
      </w:r>
      <w:r w:rsidRPr="00991968">
        <w:t xml:space="preserve">ials </w:t>
      </w:r>
      <w:r w:rsidR="004122F8" w:rsidRPr="00991968">
        <w:t>–</w:t>
      </w:r>
      <w:r w:rsidR="005D1E80" w:rsidRPr="00991968">
        <w:t xml:space="preserve"> </w:t>
      </w:r>
      <w:r w:rsidR="00814552">
        <w:t xml:space="preserve">neue und </w:t>
      </w:r>
      <w:r w:rsidRPr="00991968">
        <w:t xml:space="preserve">erweiterte Zugriffsmöglichkeiten </w:t>
      </w:r>
      <w:r w:rsidR="00C17EEA" w:rsidRPr="00991968">
        <w:t>durch</w:t>
      </w:r>
      <w:r w:rsidRPr="00991968">
        <w:t xml:space="preserve"> </w:t>
      </w:r>
      <w:r w:rsidR="00741865" w:rsidRPr="00991968">
        <w:t xml:space="preserve">Partizipation, Information, </w:t>
      </w:r>
      <w:r w:rsidR="002F5761" w:rsidRPr="00991968">
        <w:t>Kommunikation</w:t>
      </w:r>
      <w:r w:rsidR="00C17EEA" w:rsidRPr="00991968">
        <w:t xml:space="preserve"> und </w:t>
      </w:r>
      <w:r w:rsidR="00C156B8">
        <w:t>Produktion</w:t>
      </w:r>
      <w:r w:rsidR="00C17EEA" w:rsidRPr="00C156B8">
        <w:t>.</w:t>
      </w:r>
      <w:r w:rsidR="00B527F6" w:rsidRPr="00C156B8">
        <w:t xml:space="preserve"> </w:t>
      </w:r>
      <w:r w:rsidR="000D3D92" w:rsidRPr="00991968">
        <w:t xml:space="preserve">Hierbei sind die </w:t>
      </w:r>
      <w:r w:rsidR="00EC14C2" w:rsidRPr="00991968">
        <w:t>Dimensionen der Medienkompetenz</w:t>
      </w:r>
      <w:r w:rsidR="000D3D92" w:rsidRPr="00991968">
        <w:t xml:space="preserve"> </w:t>
      </w:r>
      <w:r w:rsidR="00EC14C2" w:rsidRPr="00991968">
        <w:t xml:space="preserve">nach Heike Schaumburg </w:t>
      </w:r>
      <w:r w:rsidR="002C3405">
        <w:t xml:space="preserve">– </w:t>
      </w:r>
      <w:r w:rsidR="00EC14C2" w:rsidRPr="00991968">
        <w:t>Wissen, Nutzung, Kritik, Gestaltung und Genuss</w:t>
      </w:r>
      <w:r w:rsidR="002C3405">
        <w:t xml:space="preserve"> –</w:t>
      </w:r>
      <w:r w:rsidR="000D3D92" w:rsidRPr="00991968">
        <w:t xml:space="preserve"> zu berücksichtigen.</w:t>
      </w:r>
      <w:r w:rsidR="00E87458">
        <w:rPr>
          <w:rStyle w:val="Funotenzeichen"/>
        </w:rPr>
        <w:footnoteReference w:id="1"/>
      </w:r>
    </w:p>
    <w:p w14:paraId="2A6F870A" w14:textId="65AE684E" w:rsidR="00141119" w:rsidRDefault="00141119" w:rsidP="004B5A72">
      <w:pPr>
        <w:pStyle w:val="Listenabsatz"/>
        <w:jc w:val="both"/>
      </w:pPr>
      <w:r>
        <w:t>Der Einsatz digitaler Medien im (Kunst-)Unterricht ermöglicht in diesem Z</w:t>
      </w:r>
      <w:r w:rsidR="00AC38C2">
        <w:t>usammenhang eine Erweiterung des Potenzials analoger</w:t>
      </w:r>
      <w:r>
        <w:t xml:space="preserve"> Medien hinsichtlich der multimedialen und interaktiven Aufbereitung von Lerninhalten sowie </w:t>
      </w:r>
      <w:r w:rsidR="002C3405">
        <w:t xml:space="preserve">der </w:t>
      </w:r>
      <w:r w:rsidR="00C27A86">
        <w:t xml:space="preserve">Informationssuche und </w:t>
      </w:r>
      <w:r w:rsidR="00F76B20">
        <w:t>-</w:t>
      </w:r>
      <w:r>
        <w:t>recherche</w:t>
      </w:r>
      <w:r w:rsidR="00814552">
        <w:t xml:space="preserve"> und der Präsentation von Ergebnissen.</w:t>
      </w:r>
      <w:r w:rsidR="00AA49DF">
        <w:t xml:space="preserve"> </w:t>
      </w:r>
      <w:r w:rsidR="00AC3C66">
        <w:t xml:space="preserve">  </w:t>
      </w:r>
    </w:p>
    <w:p w14:paraId="139C593C" w14:textId="4AAD5B75" w:rsidR="00141119" w:rsidRDefault="00141119" w:rsidP="004B5A72">
      <w:pPr>
        <w:pStyle w:val="Listenabsatz"/>
        <w:jc w:val="both"/>
      </w:pPr>
      <w:r>
        <w:t>Die erweiterten digitalen Möglichkeiten des kollaborativen Arbeitens in „virtuellen Arbeitsräumen“ ermöglichen den Schülerinnen und Schülern einen unmittelbaren</w:t>
      </w:r>
      <w:r w:rsidR="00F24D50">
        <w:t>, ort- und zeitunabhängigen Austausch und</w:t>
      </w:r>
      <w:r>
        <w:t xml:space="preserve"> </w:t>
      </w:r>
      <w:r w:rsidR="002C3405">
        <w:t xml:space="preserve">eine </w:t>
      </w:r>
      <w:r>
        <w:t>Ver</w:t>
      </w:r>
      <w:r w:rsidR="00F24D50">
        <w:t xml:space="preserve">netzung in Arbeitsprozessen sowie </w:t>
      </w:r>
      <w:r>
        <w:t>bezüglich der Arbeitsprodukte.</w:t>
      </w:r>
    </w:p>
    <w:p w14:paraId="70181B06" w14:textId="77777777" w:rsidR="00141119" w:rsidRDefault="00141119" w:rsidP="004B5A72">
      <w:pPr>
        <w:pStyle w:val="Listenabsatz"/>
        <w:jc w:val="both"/>
      </w:pPr>
      <w:r>
        <w:t>Hierdurch kann eine positive intrinsische Motivation erreicht werden.</w:t>
      </w:r>
    </w:p>
    <w:p w14:paraId="59803913" w14:textId="19102340" w:rsidR="009A04C9" w:rsidRDefault="00141119" w:rsidP="009A04C9">
      <w:pPr>
        <w:pStyle w:val="Listenabsatz"/>
        <w:jc w:val="both"/>
      </w:pPr>
      <w:r>
        <w:t xml:space="preserve">Die dargestellten Unterrichtsvorhaben zeigen exemplarisch unterschiedliche </w:t>
      </w:r>
      <w:r w:rsidR="00AC38C2">
        <w:t>Ansteuerungsm</w:t>
      </w:r>
      <w:r>
        <w:t xml:space="preserve">öglichkeiten des didaktischen Potenzials der verwendeten digitalen Medien </w:t>
      </w:r>
      <w:r>
        <w:t>und de</w:t>
      </w:r>
      <w:r w:rsidR="00814552">
        <w:t>r</w:t>
      </w:r>
      <w:r>
        <w:t xml:space="preserve"> daraus entstehenden didaktischen </w:t>
      </w:r>
      <w:r w:rsidR="00814552">
        <w:t>Möglichkeiten</w:t>
      </w:r>
      <w:r>
        <w:t xml:space="preserve">. </w:t>
      </w:r>
      <w:r w:rsidR="00184905">
        <w:t xml:space="preserve"> </w:t>
      </w:r>
      <w:bookmarkStart w:id="0" w:name="_GoBack"/>
      <w:bookmarkEnd w:id="0"/>
    </w:p>
    <w:p w14:paraId="73BDBB9F" w14:textId="2BC81D13" w:rsidR="00141119" w:rsidRDefault="00F24D50" w:rsidP="00F24D50">
      <w:pPr>
        <w:pStyle w:val="Listenabsatz"/>
        <w:jc w:val="both"/>
      </w:pPr>
      <w:r>
        <w:t xml:space="preserve">Um den Einsatz von Lerntechnologien und den damit verbundenen möglichen Kompetenzerwerb zu veranschaulichen, kann es hilfreich sein, sich bspw. </w:t>
      </w:r>
      <w:r w:rsidR="00261C49">
        <w:t xml:space="preserve">am </w:t>
      </w:r>
      <w:hyperlink r:id="rId11" w:history="1">
        <w:r w:rsidR="009A04C9" w:rsidRPr="009A04C9">
          <w:rPr>
            <w:rStyle w:val="Hyperlink"/>
          </w:rPr>
          <w:t>SAMR-Modell von R. Puentedura</w:t>
        </w:r>
      </w:hyperlink>
      <w:r w:rsidR="009A04C9">
        <w:t xml:space="preserve"> zu orientieren. Entsprechend diesem Modell wird in den abgebildeten beispielhaften Unterrichtsvorhaben – </w:t>
      </w:r>
      <w:r w:rsidR="00141119">
        <w:t>hinsichtlich der Gestaltung und Bearbeitung von Aufgaben im Unterricht</w:t>
      </w:r>
      <w:r w:rsidR="009A04C9">
        <w:t xml:space="preserve"> –</w:t>
      </w:r>
      <w:r w:rsidR="00141119">
        <w:t xml:space="preserve"> sowohl die Stufe der Erweiterung (vor allem durch Augmentation) als auch die Stufe der Transformation (vorrangig durch Modifikation) angesteuert.</w:t>
      </w:r>
      <w:r>
        <w:t xml:space="preserve"> </w:t>
      </w:r>
    </w:p>
    <w:p w14:paraId="4629922C" w14:textId="0E5E2D32" w:rsidR="009A04C9" w:rsidRDefault="00141119" w:rsidP="00141119">
      <w:pPr>
        <w:pStyle w:val="Listenabsatz"/>
        <w:jc w:val="both"/>
      </w:pPr>
      <w:r>
        <w:lastRenderedPageBreak/>
        <w:t xml:space="preserve">Die Stufe der Erweiterung wird vor allem durch das Kennenlernen und die Anwendung von digitalen Werkzeugen und deren spezifischen Vorteilen im Vergleich </w:t>
      </w:r>
      <w:r w:rsidR="00261C49">
        <w:t>zum</w:t>
      </w:r>
      <w:r>
        <w:t xml:space="preserve"> Einsatz analoger Werkzeuge </w:t>
      </w:r>
      <w:r w:rsidR="00261C49">
        <w:t xml:space="preserve">erreicht, </w:t>
      </w:r>
      <w:r>
        <w:t>wie z.B. die Erleichterung, Fokussierung und Beschleunigung von Herstellungsprozessen oder die speziellen Eigenschaften und Möglichkeiten digitaler Bilder (z.B. Zoomfunktio</w:t>
      </w:r>
      <w:r w:rsidR="00833E74">
        <w:t>n) sowie</w:t>
      </w:r>
      <w:r>
        <w:t xml:space="preserve"> die digitale Recherche und digitale Erweiterung des Materialangebots.</w:t>
      </w:r>
      <w:r w:rsidR="0047143A">
        <w:t xml:space="preserve"> </w:t>
      </w:r>
      <w:r w:rsidR="007466AA">
        <w:t>Das Arbeiten mit digitalen Portfolios</w:t>
      </w:r>
      <w:r w:rsidR="007466AA" w:rsidRPr="007466AA">
        <w:t xml:space="preserve"> zeigt, </w:t>
      </w:r>
      <w:r w:rsidR="007466AA">
        <w:t>wie fließend die einzelnen Stufen</w:t>
      </w:r>
      <w:r w:rsidR="007466AA" w:rsidRPr="007466AA">
        <w:t xml:space="preserve"> ineinander übergehen und </w:t>
      </w:r>
      <w:r w:rsidR="00261C49">
        <w:t xml:space="preserve">wie </w:t>
      </w:r>
      <w:r w:rsidR="007466AA" w:rsidRPr="007466AA">
        <w:t xml:space="preserve">leicht Abläufe modifiziert werden können. Das Unterrichtsvorhaben „Arbeiten mit einem digitalen Portfolio zur abstrahierenden Plastik“ skizziert daher auch Möglichkeiten, wie durch projektartiges, kollaboratives Arbeiten </w:t>
      </w:r>
      <w:r w:rsidRPr="007466AA">
        <w:t>und Präsentieren mit digitalen Me</w:t>
      </w:r>
      <w:r w:rsidR="007466AA" w:rsidRPr="007466AA">
        <w:t>dien</w:t>
      </w:r>
      <w:r w:rsidRPr="007466AA">
        <w:t xml:space="preserve"> die Stufe der Transformation angesteuert</w:t>
      </w:r>
      <w:r w:rsidR="007466AA" w:rsidRPr="007466AA">
        <w:t xml:space="preserve"> werden kann</w:t>
      </w:r>
      <w:r w:rsidRPr="007466AA">
        <w:t>.</w:t>
      </w:r>
      <w:r w:rsidR="009A04C9" w:rsidRPr="007466AA">
        <w:t xml:space="preserve"> </w:t>
      </w:r>
    </w:p>
    <w:p w14:paraId="2BC1A0D7" w14:textId="4EBEEF69" w:rsidR="00141119" w:rsidRDefault="00141119" w:rsidP="00141119">
      <w:pPr>
        <w:pStyle w:val="Listenabsatz"/>
        <w:jc w:val="both"/>
      </w:pPr>
      <w:r>
        <w:t>Ebenso bietet die digital erstellte Kontextualisierung von Modellen und deren virtuelle Präsentation</w:t>
      </w:r>
      <w:r w:rsidR="002D3E7C">
        <w:t>, wie in den Sequenzen des U</w:t>
      </w:r>
      <w:r w:rsidR="007466AA">
        <w:t>nterrichtsvorhabens</w:t>
      </w:r>
      <w:r w:rsidR="002D3E7C">
        <w:t xml:space="preserve"> „Erstellen von dreidimensionalen AR-Modellen“ vorgestellt, </w:t>
      </w:r>
      <w:r w:rsidR="00AC38C2">
        <w:t>auf der Stufe der Transformation</w:t>
      </w:r>
      <w:r>
        <w:t xml:space="preserve"> einen hohen didaktischen Mehrwert, welcher durch analoge Werkzeuge kaum oder nur sehr viel schwieriger zu erreichen wäre.</w:t>
      </w:r>
      <w:r w:rsidR="002D3E7C">
        <w:t xml:space="preserve"> </w:t>
      </w:r>
    </w:p>
    <w:p w14:paraId="123E2988" w14:textId="4DF8A0BF" w:rsidR="007466AA" w:rsidRPr="00991968" w:rsidRDefault="003B5E6D" w:rsidP="00141119">
      <w:pPr>
        <w:pStyle w:val="Listenabsatz"/>
        <w:jc w:val="both"/>
      </w:pPr>
      <w:r>
        <w:t xml:space="preserve">Die vorgestellten Unterrichtssequenzen sind so konzipiert, dass – je nach Bedarf und Lerngruppe – ein fließender Übergang </w:t>
      </w:r>
      <w:r w:rsidR="007466AA">
        <w:t xml:space="preserve">zwischen den oben dargestellten </w:t>
      </w:r>
      <w:r>
        <w:t xml:space="preserve">Stufen möglich ist. Einzelne Bausteine </w:t>
      </w:r>
      <w:r w:rsidR="007466AA">
        <w:t xml:space="preserve">der Unterrichtsvorhaben </w:t>
      </w:r>
      <w:r>
        <w:t xml:space="preserve">können dabei </w:t>
      </w:r>
      <w:r w:rsidR="000205FF">
        <w:t xml:space="preserve">herausgegriffen, </w:t>
      </w:r>
      <w:r>
        <w:t>miteinander kombiniert</w:t>
      </w:r>
      <w:r w:rsidR="000205FF">
        <w:t xml:space="preserve"> </w:t>
      </w:r>
      <w:r w:rsidR="0029141D">
        <w:t>und/</w:t>
      </w:r>
      <w:r w:rsidR="000205FF">
        <w:t>oder im Sinne der individuellen Förderung genutzt</w:t>
      </w:r>
      <w:r>
        <w:t xml:space="preserve"> werden</w:t>
      </w:r>
      <w:r w:rsidR="000205FF">
        <w:t>. Inhaltliche Konkretionen</w:t>
      </w:r>
      <w:r w:rsidR="00261C49">
        <w:t>,</w:t>
      </w:r>
      <w:r w:rsidR="000205FF">
        <w:t xml:space="preserve"> bspw. </w:t>
      </w:r>
      <w:r w:rsidR="0029141D">
        <w:t>eine problemorientierte Ausgestaltung</w:t>
      </w:r>
      <w:r w:rsidR="000205FF">
        <w:t xml:space="preserve"> von Aufgabenstellung</w:t>
      </w:r>
      <w:r w:rsidR="0029141D">
        <w:t>en</w:t>
      </w:r>
      <w:r w:rsidR="000205FF">
        <w:t xml:space="preserve"> und entsprechenden Kriterien</w:t>
      </w:r>
      <w:r w:rsidR="00261C49">
        <w:t>,</w:t>
      </w:r>
      <w:r w:rsidR="000205FF">
        <w:t xml:space="preserve"> sind z.T. nur skizzenhaft angerissen</w:t>
      </w:r>
      <w:r w:rsidR="0029141D">
        <w:t xml:space="preserve">. Dies bietet </w:t>
      </w:r>
      <w:r w:rsidR="000205FF">
        <w:t xml:space="preserve">den Lehrkräften </w:t>
      </w:r>
      <w:r w:rsidR="0029141D">
        <w:t xml:space="preserve">einen </w:t>
      </w:r>
      <w:r w:rsidR="000205FF">
        <w:t xml:space="preserve">größtmöglichen thematischen Spielraum, </w:t>
      </w:r>
      <w:r w:rsidR="0029141D">
        <w:t>um</w:t>
      </w:r>
      <w:r w:rsidR="000205FF">
        <w:t xml:space="preserve"> gezielt auf z.B. schul- </w:t>
      </w:r>
      <w:r w:rsidR="0029141D">
        <w:t xml:space="preserve">und </w:t>
      </w:r>
      <w:r w:rsidR="000205FF">
        <w:t>lebensweltspezifische Voraussetzungen</w:t>
      </w:r>
      <w:r>
        <w:t xml:space="preserve"> </w:t>
      </w:r>
      <w:r w:rsidR="000205FF">
        <w:t xml:space="preserve">ihrer Lerngruppe eingehen </w:t>
      </w:r>
      <w:r w:rsidR="0029141D">
        <w:t xml:space="preserve">zu </w:t>
      </w:r>
      <w:r w:rsidR="000205FF">
        <w:t>können.</w:t>
      </w:r>
    </w:p>
    <w:p w14:paraId="55CD4A29" w14:textId="60D1F0CF" w:rsidR="00741865" w:rsidRDefault="00E25FBE" w:rsidP="00F15252">
      <w:pPr>
        <w:pStyle w:val="Listenabsatz"/>
        <w:jc w:val="both"/>
      </w:pPr>
      <w:r w:rsidRPr="00991968">
        <w:t xml:space="preserve">Digitalität </w:t>
      </w:r>
      <w:r w:rsidR="008471E1" w:rsidRPr="00991968">
        <w:t xml:space="preserve">ermöglicht </w:t>
      </w:r>
      <w:r w:rsidR="00261C49">
        <w:t xml:space="preserve">es, </w:t>
      </w:r>
      <w:r w:rsidRPr="00991968">
        <w:t xml:space="preserve">einen Vorstellungsraum </w:t>
      </w:r>
      <w:r w:rsidR="008471E1" w:rsidRPr="00991968">
        <w:t xml:space="preserve">zu eröffnen, der </w:t>
      </w:r>
      <w:r w:rsidRPr="00991968">
        <w:t>unseren Wissens- und E</w:t>
      </w:r>
      <w:r w:rsidR="008471E1" w:rsidRPr="00991968">
        <w:t>rfahrungshorizont neu abstecken kann.</w:t>
      </w:r>
      <w:r w:rsidRPr="00991968">
        <w:t xml:space="preserve"> Ein historisches Beispiel, das die Brücke in den Kunstunterricht schlägt, ist die Zusammenarbeit von Nam June Paik mit dem Ingenieur Shuya Abe, die gemeinsam den Video</w:t>
      </w:r>
      <w:r w:rsidR="00261C49">
        <w:t>-</w:t>
      </w:r>
      <w:r w:rsidRPr="00991968">
        <w:t xml:space="preserve">Synthesizer entwickelten, mit dem sie aus elektronischen Impulsen Bilder </w:t>
      </w:r>
      <w:r w:rsidR="007466AA">
        <w:t xml:space="preserve">erzeugten. Während den Künstler </w:t>
      </w:r>
      <w:r w:rsidRPr="00991968">
        <w:t>die visuellen Gestaltungsmöglichkeiten des Fernsehers jenseits seiner vorgesehenen Funktion interessierte und er zu</w:t>
      </w:r>
      <w:r w:rsidRPr="00991968">
        <w:rPr>
          <w:rFonts w:cstheme="minorHAnsi"/>
          <w:b/>
        </w:rPr>
        <w:t xml:space="preserve"> </w:t>
      </w:r>
      <w:r w:rsidRPr="00991968">
        <w:rPr>
          <w:rFonts w:cstheme="minorHAnsi"/>
          <w:b/>
          <w:bCs/>
        </w:rPr>
        <w:t>Material</w:t>
      </w:r>
      <w:r w:rsidRPr="00991968">
        <w:rPr>
          <w:rFonts w:ascii="AAAAAB+AvenirNext-DemiBold" w:hAnsi="AAAAAB+AvenirNext-DemiBold" w:cs="AAAAAB+AvenirNext-DemiBold"/>
          <w:bCs/>
          <w:sz w:val="28"/>
          <w:szCs w:val="28"/>
        </w:rPr>
        <w:t xml:space="preserve"> </w:t>
      </w:r>
      <w:r w:rsidRPr="00991968">
        <w:t>wurde, sorgte der Ingenieur für die technische Umsetzung. Das könnte ein Impuls für den Kunstunterricht sein. Wichtiger aber noch ist die Einsicht, dass für den Künstler auch die Technik zuallererst Material ist.</w:t>
      </w:r>
    </w:p>
    <w:p w14:paraId="3FA2DB57" w14:textId="77777777" w:rsidR="00CD4ACA" w:rsidRPr="00FB6BA9" w:rsidRDefault="00CD4ACA"/>
    <w:sectPr w:rsidR="00CD4ACA" w:rsidRPr="00FB6BA9" w:rsidSect="006A1FDF">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EC69D" w14:textId="77777777" w:rsidR="00B5140C" w:rsidRDefault="00B5140C" w:rsidP="00E87458">
      <w:pPr>
        <w:spacing w:after="0" w:line="240" w:lineRule="auto"/>
      </w:pPr>
      <w:r>
        <w:separator/>
      </w:r>
    </w:p>
  </w:endnote>
  <w:endnote w:type="continuationSeparator" w:id="0">
    <w:p w14:paraId="5A5594B9" w14:textId="77777777" w:rsidR="00B5140C" w:rsidRDefault="00B5140C" w:rsidP="00E8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AAAAB+AvenirNext-DemiBold">
    <w:altName w:val="Avenir Nex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0CC08" w14:textId="77777777" w:rsidR="00B5140C" w:rsidRDefault="00B5140C" w:rsidP="00E87458">
      <w:pPr>
        <w:spacing w:after="0" w:line="240" w:lineRule="auto"/>
      </w:pPr>
      <w:r>
        <w:separator/>
      </w:r>
    </w:p>
  </w:footnote>
  <w:footnote w:type="continuationSeparator" w:id="0">
    <w:p w14:paraId="13EC5E9F" w14:textId="77777777" w:rsidR="00B5140C" w:rsidRDefault="00B5140C" w:rsidP="00E87458">
      <w:pPr>
        <w:spacing w:after="0" w:line="240" w:lineRule="auto"/>
      </w:pPr>
      <w:r>
        <w:continuationSeparator/>
      </w:r>
    </w:p>
  </w:footnote>
  <w:footnote w:id="1">
    <w:p w14:paraId="7BC535B8" w14:textId="419F8A3F" w:rsidR="00583B10" w:rsidRDefault="00E87458">
      <w:pPr>
        <w:pStyle w:val="Funotentext"/>
      </w:pPr>
      <w:r>
        <w:rPr>
          <w:rStyle w:val="Funotenzeichen"/>
        </w:rPr>
        <w:footnoteRef/>
      </w:r>
      <w:r>
        <w:t xml:space="preserve"> </w:t>
      </w:r>
      <w:hyperlink r:id="rId1" w:history="1">
        <w:r w:rsidRPr="00583B10">
          <w:rPr>
            <w:rStyle w:val="Hyperlink"/>
          </w:rPr>
          <w:t xml:space="preserve">Vgl. </w:t>
        </w:r>
        <w:r w:rsidR="00583B10" w:rsidRPr="00583B10">
          <w:rPr>
            <w:rStyle w:val="Hyperlink"/>
          </w:rPr>
          <w:t xml:space="preserve">Dr. </w:t>
        </w:r>
        <w:r w:rsidRPr="00583B10">
          <w:rPr>
            <w:rStyle w:val="Hyperlink"/>
          </w:rPr>
          <w:t>Schaumburg, Heike:</w:t>
        </w:r>
        <w:r w:rsidR="00583B10" w:rsidRPr="00583B10">
          <w:rPr>
            <w:rStyle w:val="Hyperlink"/>
          </w:rPr>
          <w:t xml:space="preserve"> Chancen und Risiken digitaler Medien in der Schule. Medienpädagogische und -didaktische Perspektiven.</w:t>
        </w:r>
      </w:hyperlink>
      <w:r w:rsidR="00583B10">
        <w:t xml:space="preserve"> S. 26 ff., 48. f. Letzter Aufruf: 17.09.2021.</w:t>
      </w:r>
    </w:p>
    <w:p w14:paraId="11315350" w14:textId="271691A9" w:rsidR="00E87458" w:rsidRDefault="00E87458">
      <w:pPr>
        <w:pStyle w:val="Funotentext"/>
      </w:pPr>
    </w:p>
    <w:p w14:paraId="09F3B637" w14:textId="77777777" w:rsidR="00583B10" w:rsidRDefault="00583B10">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F17C3"/>
    <w:multiLevelType w:val="hybridMultilevel"/>
    <w:tmpl w:val="DFA66FA4"/>
    <w:lvl w:ilvl="0" w:tplc="2350024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9B07FB4"/>
    <w:multiLevelType w:val="hybridMultilevel"/>
    <w:tmpl w:val="80B4E40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2FFE6AA8"/>
    <w:multiLevelType w:val="hybridMultilevel"/>
    <w:tmpl w:val="B1D24F12"/>
    <w:lvl w:ilvl="0" w:tplc="634E361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794C40"/>
    <w:multiLevelType w:val="hybridMultilevel"/>
    <w:tmpl w:val="803E450C"/>
    <w:lvl w:ilvl="0" w:tplc="349EE464">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55F7300B"/>
    <w:multiLevelType w:val="hybridMultilevel"/>
    <w:tmpl w:val="AE14BC4E"/>
    <w:lvl w:ilvl="0" w:tplc="BB3EBA7C">
      <w:start w:val="1"/>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3EE7867"/>
    <w:multiLevelType w:val="multilevel"/>
    <w:tmpl w:val="AB5C6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2368B4"/>
    <w:multiLevelType w:val="hybridMultilevel"/>
    <w:tmpl w:val="5C7A0D9A"/>
    <w:lvl w:ilvl="0" w:tplc="AE3CB38A">
      <w:numFmt w:val="bullet"/>
      <w:lvlText w:val="-"/>
      <w:lvlJc w:val="left"/>
      <w:pPr>
        <w:ind w:left="1080" w:hanging="360"/>
      </w:pPr>
      <w:rPr>
        <w:rFonts w:ascii="Calibri" w:eastAsiaTheme="minorHAns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6D162939"/>
    <w:multiLevelType w:val="hybridMultilevel"/>
    <w:tmpl w:val="CB0069A2"/>
    <w:lvl w:ilvl="0" w:tplc="EB5A8F1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4"/>
  </w:num>
  <w:num w:numId="6">
    <w:abstractNumId w:val="1"/>
  </w:num>
  <w:num w:numId="7">
    <w:abstractNumId w:val="7"/>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eper, Monika">
    <w15:presenceInfo w15:providerId="None" w15:userId="Pieper, 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D9"/>
    <w:rsid w:val="00011EBA"/>
    <w:rsid w:val="000205FF"/>
    <w:rsid w:val="0004512B"/>
    <w:rsid w:val="00046E6B"/>
    <w:rsid w:val="00050A26"/>
    <w:rsid w:val="000613B8"/>
    <w:rsid w:val="000D3D92"/>
    <w:rsid w:val="00127E56"/>
    <w:rsid w:val="00141119"/>
    <w:rsid w:val="00141FF4"/>
    <w:rsid w:val="00161A6A"/>
    <w:rsid w:val="00171302"/>
    <w:rsid w:val="00184905"/>
    <w:rsid w:val="00190EE6"/>
    <w:rsid w:val="001B71B8"/>
    <w:rsid w:val="001C1251"/>
    <w:rsid w:val="00236173"/>
    <w:rsid w:val="00261C49"/>
    <w:rsid w:val="002624A8"/>
    <w:rsid w:val="0026766D"/>
    <w:rsid w:val="00273BD3"/>
    <w:rsid w:val="0029099D"/>
    <w:rsid w:val="0029141D"/>
    <w:rsid w:val="002A067C"/>
    <w:rsid w:val="002A2ED9"/>
    <w:rsid w:val="002C3405"/>
    <w:rsid w:val="002D2609"/>
    <w:rsid w:val="002D26FE"/>
    <w:rsid w:val="002D3E7C"/>
    <w:rsid w:val="002D6922"/>
    <w:rsid w:val="002F5761"/>
    <w:rsid w:val="00382881"/>
    <w:rsid w:val="0039412A"/>
    <w:rsid w:val="003B5E6D"/>
    <w:rsid w:val="003D49B8"/>
    <w:rsid w:val="003D63EE"/>
    <w:rsid w:val="003E3A0A"/>
    <w:rsid w:val="004122F8"/>
    <w:rsid w:val="00453D79"/>
    <w:rsid w:val="00454CCB"/>
    <w:rsid w:val="0047143A"/>
    <w:rsid w:val="00473EED"/>
    <w:rsid w:val="00496D61"/>
    <w:rsid w:val="004B5A72"/>
    <w:rsid w:val="004C7C33"/>
    <w:rsid w:val="004D1C44"/>
    <w:rsid w:val="00532486"/>
    <w:rsid w:val="0054583D"/>
    <w:rsid w:val="00583B10"/>
    <w:rsid w:val="005A2524"/>
    <w:rsid w:val="005B754A"/>
    <w:rsid w:val="005D1E80"/>
    <w:rsid w:val="00600D16"/>
    <w:rsid w:val="00631C5D"/>
    <w:rsid w:val="00652BBA"/>
    <w:rsid w:val="006572DC"/>
    <w:rsid w:val="00681442"/>
    <w:rsid w:val="00682D98"/>
    <w:rsid w:val="00695DBB"/>
    <w:rsid w:val="006A1FDF"/>
    <w:rsid w:val="006A7B53"/>
    <w:rsid w:val="006B09AF"/>
    <w:rsid w:val="006D63F6"/>
    <w:rsid w:val="00707768"/>
    <w:rsid w:val="007149B6"/>
    <w:rsid w:val="00741865"/>
    <w:rsid w:val="007466AA"/>
    <w:rsid w:val="007D36BE"/>
    <w:rsid w:val="007F2F4C"/>
    <w:rsid w:val="00814552"/>
    <w:rsid w:val="00820F4D"/>
    <w:rsid w:val="00832444"/>
    <w:rsid w:val="00833E74"/>
    <w:rsid w:val="008421F1"/>
    <w:rsid w:val="008471E1"/>
    <w:rsid w:val="00855D5D"/>
    <w:rsid w:val="008F0279"/>
    <w:rsid w:val="0090185F"/>
    <w:rsid w:val="009525BE"/>
    <w:rsid w:val="00984167"/>
    <w:rsid w:val="00991968"/>
    <w:rsid w:val="00991CE2"/>
    <w:rsid w:val="009A04C9"/>
    <w:rsid w:val="009B00A2"/>
    <w:rsid w:val="009E70C6"/>
    <w:rsid w:val="00A00FB1"/>
    <w:rsid w:val="00A24996"/>
    <w:rsid w:val="00A377FE"/>
    <w:rsid w:val="00A77CC1"/>
    <w:rsid w:val="00A83D12"/>
    <w:rsid w:val="00A85618"/>
    <w:rsid w:val="00A97F7D"/>
    <w:rsid w:val="00AA49DF"/>
    <w:rsid w:val="00AC38C2"/>
    <w:rsid w:val="00AC3C66"/>
    <w:rsid w:val="00B0597B"/>
    <w:rsid w:val="00B4354D"/>
    <w:rsid w:val="00B5140C"/>
    <w:rsid w:val="00B527F6"/>
    <w:rsid w:val="00B530F7"/>
    <w:rsid w:val="00BB71A6"/>
    <w:rsid w:val="00BD2836"/>
    <w:rsid w:val="00BE3E35"/>
    <w:rsid w:val="00C156B8"/>
    <w:rsid w:val="00C175DB"/>
    <w:rsid w:val="00C17EEA"/>
    <w:rsid w:val="00C27A86"/>
    <w:rsid w:val="00C36BAC"/>
    <w:rsid w:val="00C74182"/>
    <w:rsid w:val="00CA062B"/>
    <w:rsid w:val="00CD4ACA"/>
    <w:rsid w:val="00D31045"/>
    <w:rsid w:val="00D60517"/>
    <w:rsid w:val="00D61477"/>
    <w:rsid w:val="00D94D82"/>
    <w:rsid w:val="00DB3619"/>
    <w:rsid w:val="00DF5B77"/>
    <w:rsid w:val="00E21D4B"/>
    <w:rsid w:val="00E25FBE"/>
    <w:rsid w:val="00E87458"/>
    <w:rsid w:val="00EB5B0B"/>
    <w:rsid w:val="00EB5ED2"/>
    <w:rsid w:val="00EC14C2"/>
    <w:rsid w:val="00EC163C"/>
    <w:rsid w:val="00F15252"/>
    <w:rsid w:val="00F24D50"/>
    <w:rsid w:val="00F76B20"/>
    <w:rsid w:val="00F850F3"/>
    <w:rsid w:val="00FB5816"/>
    <w:rsid w:val="00FB6BA9"/>
    <w:rsid w:val="00FC23AB"/>
    <w:rsid w:val="00FF7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A2E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ED9"/>
    <w:rPr>
      <w:rFonts w:ascii="Tahoma" w:hAnsi="Tahoma" w:cs="Tahoma"/>
      <w:sz w:val="16"/>
      <w:szCs w:val="16"/>
    </w:rPr>
  </w:style>
  <w:style w:type="character" w:styleId="Hyperlink">
    <w:name w:val="Hyperlink"/>
    <w:basedOn w:val="Absatz-Standardschriftart"/>
    <w:uiPriority w:val="99"/>
    <w:unhideWhenUsed/>
    <w:rsid w:val="00A00FB1"/>
    <w:rPr>
      <w:color w:val="0000FF"/>
      <w:u w:val="single"/>
    </w:rPr>
  </w:style>
  <w:style w:type="paragraph" w:styleId="Listenabsatz">
    <w:name w:val="List Paragraph"/>
    <w:basedOn w:val="Standard"/>
    <w:uiPriority w:val="34"/>
    <w:qFormat/>
    <w:rsid w:val="00FB6BA9"/>
    <w:pPr>
      <w:ind w:left="720"/>
      <w:contextualSpacing/>
    </w:pPr>
  </w:style>
  <w:style w:type="table" w:styleId="Tabellenraster">
    <w:name w:val="Table Grid"/>
    <w:basedOn w:val="NormaleTabelle"/>
    <w:uiPriority w:val="59"/>
    <w:rsid w:val="00453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27A86"/>
    <w:rPr>
      <w:sz w:val="16"/>
      <w:szCs w:val="16"/>
    </w:rPr>
  </w:style>
  <w:style w:type="paragraph" w:styleId="Kommentartext">
    <w:name w:val="annotation text"/>
    <w:basedOn w:val="Standard"/>
    <w:link w:val="KommentartextZchn"/>
    <w:uiPriority w:val="99"/>
    <w:semiHidden/>
    <w:unhideWhenUsed/>
    <w:rsid w:val="00C27A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7A86"/>
    <w:rPr>
      <w:sz w:val="20"/>
      <w:szCs w:val="20"/>
    </w:rPr>
  </w:style>
  <w:style w:type="paragraph" w:styleId="Kommentarthema">
    <w:name w:val="annotation subject"/>
    <w:basedOn w:val="Kommentartext"/>
    <w:next w:val="Kommentartext"/>
    <w:link w:val="KommentarthemaZchn"/>
    <w:uiPriority w:val="99"/>
    <w:semiHidden/>
    <w:unhideWhenUsed/>
    <w:rsid w:val="00C27A86"/>
    <w:rPr>
      <w:b/>
      <w:bCs/>
    </w:rPr>
  </w:style>
  <w:style w:type="character" w:customStyle="1" w:styleId="KommentarthemaZchn">
    <w:name w:val="Kommentarthema Zchn"/>
    <w:basedOn w:val="KommentartextZchn"/>
    <w:link w:val="Kommentarthema"/>
    <w:uiPriority w:val="99"/>
    <w:semiHidden/>
    <w:rsid w:val="00C27A86"/>
    <w:rPr>
      <w:b/>
      <w:bCs/>
      <w:sz w:val="20"/>
      <w:szCs w:val="20"/>
    </w:rPr>
  </w:style>
  <w:style w:type="character" w:styleId="BesuchterHyperlink">
    <w:name w:val="FollowedHyperlink"/>
    <w:basedOn w:val="Absatz-Standardschriftart"/>
    <w:uiPriority w:val="99"/>
    <w:semiHidden/>
    <w:unhideWhenUsed/>
    <w:rsid w:val="003B5E6D"/>
    <w:rPr>
      <w:color w:val="800080" w:themeColor="followedHyperlink"/>
      <w:u w:val="single"/>
    </w:rPr>
  </w:style>
  <w:style w:type="paragraph" w:styleId="Funotentext">
    <w:name w:val="footnote text"/>
    <w:basedOn w:val="Standard"/>
    <w:link w:val="FunotentextZchn"/>
    <w:uiPriority w:val="99"/>
    <w:semiHidden/>
    <w:unhideWhenUsed/>
    <w:rsid w:val="00E874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7458"/>
    <w:rPr>
      <w:sz w:val="20"/>
      <w:szCs w:val="20"/>
    </w:rPr>
  </w:style>
  <w:style w:type="character" w:styleId="Funotenzeichen">
    <w:name w:val="footnote reference"/>
    <w:basedOn w:val="Absatz-Standardschriftart"/>
    <w:uiPriority w:val="99"/>
    <w:semiHidden/>
    <w:unhideWhenUsed/>
    <w:rsid w:val="00E874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A2E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ED9"/>
    <w:rPr>
      <w:rFonts w:ascii="Tahoma" w:hAnsi="Tahoma" w:cs="Tahoma"/>
      <w:sz w:val="16"/>
      <w:szCs w:val="16"/>
    </w:rPr>
  </w:style>
  <w:style w:type="character" w:styleId="Hyperlink">
    <w:name w:val="Hyperlink"/>
    <w:basedOn w:val="Absatz-Standardschriftart"/>
    <w:uiPriority w:val="99"/>
    <w:unhideWhenUsed/>
    <w:rsid w:val="00A00FB1"/>
    <w:rPr>
      <w:color w:val="0000FF"/>
      <w:u w:val="single"/>
    </w:rPr>
  </w:style>
  <w:style w:type="paragraph" w:styleId="Listenabsatz">
    <w:name w:val="List Paragraph"/>
    <w:basedOn w:val="Standard"/>
    <w:uiPriority w:val="34"/>
    <w:qFormat/>
    <w:rsid w:val="00FB6BA9"/>
    <w:pPr>
      <w:ind w:left="720"/>
      <w:contextualSpacing/>
    </w:pPr>
  </w:style>
  <w:style w:type="table" w:styleId="Tabellenraster">
    <w:name w:val="Table Grid"/>
    <w:basedOn w:val="NormaleTabelle"/>
    <w:uiPriority w:val="59"/>
    <w:rsid w:val="00453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27A86"/>
    <w:rPr>
      <w:sz w:val="16"/>
      <w:szCs w:val="16"/>
    </w:rPr>
  </w:style>
  <w:style w:type="paragraph" w:styleId="Kommentartext">
    <w:name w:val="annotation text"/>
    <w:basedOn w:val="Standard"/>
    <w:link w:val="KommentartextZchn"/>
    <w:uiPriority w:val="99"/>
    <w:semiHidden/>
    <w:unhideWhenUsed/>
    <w:rsid w:val="00C27A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7A86"/>
    <w:rPr>
      <w:sz w:val="20"/>
      <w:szCs w:val="20"/>
    </w:rPr>
  </w:style>
  <w:style w:type="paragraph" w:styleId="Kommentarthema">
    <w:name w:val="annotation subject"/>
    <w:basedOn w:val="Kommentartext"/>
    <w:next w:val="Kommentartext"/>
    <w:link w:val="KommentarthemaZchn"/>
    <w:uiPriority w:val="99"/>
    <w:semiHidden/>
    <w:unhideWhenUsed/>
    <w:rsid w:val="00C27A86"/>
    <w:rPr>
      <w:b/>
      <w:bCs/>
    </w:rPr>
  </w:style>
  <w:style w:type="character" w:customStyle="1" w:styleId="KommentarthemaZchn">
    <w:name w:val="Kommentarthema Zchn"/>
    <w:basedOn w:val="KommentartextZchn"/>
    <w:link w:val="Kommentarthema"/>
    <w:uiPriority w:val="99"/>
    <w:semiHidden/>
    <w:rsid w:val="00C27A86"/>
    <w:rPr>
      <w:b/>
      <w:bCs/>
      <w:sz w:val="20"/>
      <w:szCs w:val="20"/>
    </w:rPr>
  </w:style>
  <w:style w:type="character" w:styleId="BesuchterHyperlink">
    <w:name w:val="FollowedHyperlink"/>
    <w:basedOn w:val="Absatz-Standardschriftart"/>
    <w:uiPriority w:val="99"/>
    <w:semiHidden/>
    <w:unhideWhenUsed/>
    <w:rsid w:val="003B5E6D"/>
    <w:rPr>
      <w:color w:val="800080" w:themeColor="followedHyperlink"/>
      <w:u w:val="single"/>
    </w:rPr>
  </w:style>
  <w:style w:type="paragraph" w:styleId="Funotentext">
    <w:name w:val="footnote text"/>
    <w:basedOn w:val="Standard"/>
    <w:link w:val="FunotentextZchn"/>
    <w:uiPriority w:val="99"/>
    <w:semiHidden/>
    <w:unhideWhenUsed/>
    <w:rsid w:val="00E8745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87458"/>
    <w:rPr>
      <w:sz w:val="20"/>
      <w:szCs w:val="20"/>
    </w:rPr>
  </w:style>
  <w:style w:type="character" w:styleId="Funotenzeichen">
    <w:name w:val="footnote reference"/>
    <w:basedOn w:val="Absatz-Standardschriftart"/>
    <w:uiPriority w:val="99"/>
    <w:semiHidden/>
    <w:unhideWhenUsed/>
    <w:rsid w:val="00E874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terrichten.digital/2019/08/26/schulentwicklung-samr-modell-4k-mifd/" TargetMode="External"/><Relationship Id="rId5" Type="http://schemas.openxmlformats.org/officeDocument/2006/relationships/settings" Target="settings.xml"/><Relationship Id="rId10" Type="http://schemas.openxmlformats.org/officeDocument/2006/relationships/hyperlink" Target="https://medienkompetenzrahmen.nrw/" TargetMode="External"/><Relationship Id="rId4" Type="http://schemas.microsoft.com/office/2007/relationships/stylesWithEffects" Target="stylesWithEffects.xml"/><Relationship Id="rId9" Type="http://schemas.openxmlformats.org/officeDocument/2006/relationships/hyperlink" Target="https://www.schulentwicklung.nrw.de/lehrplaene/"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bertelsmann-stiftung.de/fileadmin/files/BSt/Publikationen/GrauePublikationen/Studie_IB_Chancen_Risiken_digitale_Medien_2015.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ADB15-035D-47E7-8208-8D33380C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4923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Grundlagentext</vt:lpstr>
    </vt:vector>
  </TitlesOfParts>
  <Company>MSB NRW</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Grundlagentext</dc:title>
  <dc:creator>QUA-LiS NRW</dc:creator>
  <cp:keywords>Grundlagen; Kunstunterricht; Digitale Medien; SAMR; Didaktisches Potenzial</cp:keywords>
  <cp:lastModifiedBy>User</cp:lastModifiedBy>
  <cp:revision>12</cp:revision>
  <cp:lastPrinted>2021-08-05T11:00:00Z</cp:lastPrinted>
  <dcterms:created xsi:type="dcterms:W3CDTF">2022-02-02T10:51:00Z</dcterms:created>
  <dcterms:modified xsi:type="dcterms:W3CDTF">2022-02-02T12:44:00Z</dcterms:modified>
</cp:coreProperties>
</file>