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422B" w14:textId="44CDD0D9" w:rsidR="005D7EF6" w:rsidRPr="00BA0FEA" w:rsidRDefault="00907D4C" w:rsidP="005D7EF6">
      <w:pPr>
        <w:pStyle w:val="berschrift1"/>
        <w:ind w:right="-142"/>
        <w:rPr>
          <w:sz w:val="30"/>
          <w:szCs w:val="30"/>
        </w:rPr>
      </w:pPr>
      <w:r>
        <w:rPr>
          <w:sz w:val="30"/>
          <w:szCs w:val="30"/>
        </w:rPr>
        <w:t xml:space="preserve">Sicherheit von </w:t>
      </w:r>
      <w:r w:rsidR="005D7EF6" w:rsidRPr="00BA0FEA">
        <w:rPr>
          <w:sz w:val="30"/>
          <w:szCs w:val="30"/>
        </w:rPr>
        <w:t>Verhütungsmittel</w:t>
      </w:r>
      <w:r>
        <w:rPr>
          <w:sz w:val="30"/>
          <w:szCs w:val="30"/>
        </w:rPr>
        <w:t xml:space="preserve">n </w:t>
      </w:r>
      <w:r w:rsidR="00D84687" w:rsidRPr="00BA0FEA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Was besagt der </w:t>
      </w:r>
      <w:r w:rsidR="005D7EF6" w:rsidRPr="00BA0FEA">
        <w:rPr>
          <w:sz w:val="30"/>
          <w:szCs w:val="30"/>
        </w:rPr>
        <w:t>Pearl-Index</w:t>
      </w:r>
      <w:r>
        <w:rPr>
          <w:sz w:val="30"/>
          <w:szCs w:val="30"/>
        </w:rPr>
        <w:t>?</w:t>
      </w:r>
    </w:p>
    <w:p w14:paraId="60412B29" w14:textId="33E3CE4D" w:rsidR="005D7EF6" w:rsidRDefault="005D7EF6" w:rsidP="005D7EF6">
      <w:pPr>
        <w:pStyle w:val="bodytext"/>
        <w:spacing w:before="0" w:beforeAutospacing="0" w:after="0" w:afterAutospacing="0"/>
      </w:pPr>
      <w:r>
        <w:t>Der Pearl-Index (benannt nach dem amerikanischen Wissenschaftler Raymond Pearl) ist das gebräuch</w:t>
      </w:r>
      <w:r>
        <w:softHyphen/>
        <w:t>li</w:t>
      </w:r>
      <w:r w:rsidR="00F7298E">
        <w:softHyphen/>
      </w:r>
      <w:r>
        <w:t>ch</w:t>
      </w:r>
      <w:r w:rsidR="00F7298E">
        <w:softHyphen/>
      </w:r>
      <w:r>
        <w:t>e Beurteilungsmaß für die Sicherheit von Verhütungsmitteln: je kleiner der Pearl-Index, desto siche</w:t>
      </w:r>
      <w:r w:rsidR="00F7298E">
        <w:softHyphen/>
      </w:r>
      <w:r>
        <w:t>rer die Verhütungsmethode. Wenden 100 Frauen ein Jahr lang das gleiche Verhütungsmittel an und treten in die</w:t>
      </w:r>
      <w:r w:rsidR="00F7298E">
        <w:softHyphen/>
      </w:r>
      <w:r>
        <w:t>sem Zeitraum drei Schwangerschaften auf, so beträgt der Pearl-Index 3. Ein Pearl</w:t>
      </w:r>
      <w:r w:rsidR="00F7298E">
        <w:t>-</w:t>
      </w:r>
      <w:r>
        <w:t xml:space="preserve">Index von 0,1 </w:t>
      </w:r>
      <w:r w:rsidR="00F7298E">
        <w:t>heißt</w:t>
      </w:r>
      <w:r>
        <w:t xml:space="preserve">, dass eine von 1000 Frauen, die ein Jahr lang das gleiche Verhütungsmittel anwenden, schwanger wird. </w:t>
      </w:r>
    </w:p>
    <w:p w14:paraId="3F219EEF" w14:textId="460B2926" w:rsidR="005D7EF6" w:rsidRDefault="005D7EF6" w:rsidP="005D7EF6">
      <w:pPr>
        <w:pStyle w:val="bodytext"/>
        <w:spacing w:before="0" w:beforeAutospacing="0" w:after="0" w:afterAutospacing="0"/>
      </w:pPr>
      <w:r>
        <w:t xml:space="preserve">Dabei sind die Angaben in der Literatur unterschiedlich. Herstellerstudien geben oftmals den Pearl-Index an, der sich auf die Verhütungssicherheit ohne Anwendungsfehler bezieht. Andere Angaben hingegen beziehen die Anwendungsfehler teilweise mit ein. </w:t>
      </w:r>
    </w:p>
    <w:p w14:paraId="07DB04E7" w14:textId="1C1C0E9C" w:rsidR="005D7EF6" w:rsidRDefault="00136B45" w:rsidP="00D61A7F">
      <w:pPr>
        <w:pStyle w:val="berschrift3"/>
        <w:numPr>
          <w:ilvl w:val="0"/>
          <w:numId w:val="0"/>
        </w:numPr>
        <w:spacing w:after="120"/>
      </w:pPr>
      <w:r>
        <w:t>Pearl-Indi</w:t>
      </w:r>
      <w:r w:rsidR="00BD6987">
        <w:t xml:space="preserve">zes </w:t>
      </w:r>
      <w:r w:rsidR="00D73C40">
        <w:t>verschiedener</w:t>
      </w:r>
      <w:r w:rsidR="005D7EF6">
        <w:t xml:space="preserve"> Verhütungsmethoden</w:t>
      </w:r>
    </w:p>
    <w:tbl>
      <w:tblPr>
        <w:tblStyle w:val="Tabellenraster"/>
        <w:tblW w:w="9356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4"/>
        <w:gridCol w:w="1135"/>
        <w:gridCol w:w="1286"/>
        <w:gridCol w:w="2835"/>
        <w:gridCol w:w="1266"/>
      </w:tblGrid>
      <w:tr w:rsidR="003958FD" w:rsidRPr="005D7EF6" w14:paraId="048148D5" w14:textId="7D0E07E4" w:rsidTr="003958FD">
        <w:tc>
          <w:tcPr>
            <w:tcW w:w="2834" w:type="dxa"/>
          </w:tcPr>
          <w:p w14:paraId="78F9842C" w14:textId="515DEF62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Pille</w:t>
            </w:r>
          </w:p>
        </w:tc>
        <w:tc>
          <w:tcPr>
            <w:tcW w:w="1135" w:type="dxa"/>
          </w:tcPr>
          <w:p w14:paraId="17507410" w14:textId="1BB57026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0,1 - 0,9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43265DED" w14:textId="77777777" w:rsidR="003958FD" w:rsidRPr="00907D4C" w:rsidRDefault="003958FD" w:rsidP="00395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FA611C" w14:textId="164464B8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Diaphragma</w:t>
            </w:r>
          </w:p>
        </w:tc>
        <w:tc>
          <w:tcPr>
            <w:tcW w:w="1266" w:type="dxa"/>
          </w:tcPr>
          <w:p w14:paraId="1E519E0E" w14:textId="58D8967F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1 - 20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958FD" w:rsidRPr="005D7EF6" w14:paraId="74AA3879" w14:textId="77777777" w:rsidTr="003958FD">
        <w:tc>
          <w:tcPr>
            <w:tcW w:w="2834" w:type="dxa"/>
            <w:tcBorders>
              <w:bottom w:val="single" w:sz="4" w:space="0" w:color="auto"/>
            </w:tcBorders>
          </w:tcPr>
          <w:p w14:paraId="6D29C3E1" w14:textId="72E5A4DA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Mini-Pille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64C7769" w14:textId="6EF22E50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0,5 - 3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171F44F5" w14:textId="77777777" w:rsidR="003958FD" w:rsidRPr="00907D4C" w:rsidRDefault="003958FD" w:rsidP="00395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DEDE7" w14:textId="0812740F" w:rsidR="003958FD" w:rsidRPr="00907D4C" w:rsidRDefault="003958FD" w:rsidP="003958FD">
            <w:pPr>
              <w:rPr>
                <w:sz w:val="20"/>
                <w:szCs w:val="20"/>
              </w:rPr>
            </w:pPr>
            <w:proofErr w:type="spellStart"/>
            <w:r w:rsidRPr="00907D4C">
              <w:rPr>
                <w:sz w:val="20"/>
                <w:szCs w:val="20"/>
              </w:rPr>
              <w:t>Portiokappe</w:t>
            </w:r>
            <w:proofErr w:type="spellEnd"/>
          </w:p>
        </w:tc>
        <w:tc>
          <w:tcPr>
            <w:tcW w:w="1266" w:type="dxa"/>
          </w:tcPr>
          <w:p w14:paraId="55ECB35F" w14:textId="46FB28D5" w:rsidR="003958FD" w:rsidRPr="00907D4C" w:rsidRDefault="003958FD" w:rsidP="003958FD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73C40" w:rsidRPr="005D7EF6" w14:paraId="4B9B528E" w14:textId="77777777" w:rsidTr="003958FD">
        <w:tc>
          <w:tcPr>
            <w:tcW w:w="2834" w:type="dxa"/>
            <w:tcBorders>
              <w:left w:val="nil"/>
              <w:right w:val="nil"/>
            </w:tcBorders>
          </w:tcPr>
          <w:p w14:paraId="420D3BD5" w14:textId="2C0CC2E9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0BD40BC" w14:textId="0035D3D8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4E91582F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9246B" w14:textId="3437DF62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Lea </w:t>
            </w:r>
            <w:proofErr w:type="spellStart"/>
            <w:r w:rsidRPr="00907D4C">
              <w:rPr>
                <w:sz w:val="20"/>
                <w:szCs w:val="20"/>
              </w:rPr>
              <w:t>Contraceptivum</w:t>
            </w:r>
            <w:proofErr w:type="spellEnd"/>
          </w:p>
        </w:tc>
        <w:tc>
          <w:tcPr>
            <w:tcW w:w="1266" w:type="dxa"/>
          </w:tcPr>
          <w:p w14:paraId="27A6F896" w14:textId="5E818F23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2 - 3 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907D4C">
              <w:rPr>
                <w:sz w:val="20"/>
                <w:szCs w:val="20"/>
                <w:vertAlign w:val="superscript"/>
              </w:rPr>
              <w:t xml:space="preserve"> und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73C40" w:rsidRPr="005D7EF6" w14:paraId="5C7B7D58" w14:textId="3C294C0A" w:rsidTr="003958FD">
        <w:tc>
          <w:tcPr>
            <w:tcW w:w="2834" w:type="dxa"/>
          </w:tcPr>
          <w:p w14:paraId="6ED3BDA3" w14:textId="7AFD54D4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Kondom</w:t>
            </w:r>
          </w:p>
        </w:tc>
        <w:tc>
          <w:tcPr>
            <w:tcW w:w="1135" w:type="dxa"/>
          </w:tcPr>
          <w:p w14:paraId="4C1F0123" w14:textId="63AC49F7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2 – 12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0F03C465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436E70" w14:textId="0165BE06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chemische Verhütungsmittel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756E404" w14:textId="3737AF51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–</w:t>
            </w:r>
            <w:r w:rsidRPr="00907D4C">
              <w:rPr>
                <w:sz w:val="20"/>
                <w:szCs w:val="20"/>
              </w:rPr>
              <w:t xml:space="preserve"> 21</w:t>
            </w:r>
          </w:p>
        </w:tc>
      </w:tr>
      <w:tr w:rsidR="00D73C40" w:rsidRPr="005D7EF6" w14:paraId="7B780C75" w14:textId="7B7632C2" w:rsidTr="003958FD">
        <w:tc>
          <w:tcPr>
            <w:tcW w:w="2834" w:type="dxa"/>
            <w:tcBorders>
              <w:bottom w:val="single" w:sz="4" w:space="0" w:color="auto"/>
            </w:tcBorders>
          </w:tcPr>
          <w:p w14:paraId="08848CD0" w14:textId="639E79CC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Kondom für die Frau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01AB3FE" w14:textId="51B3649E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5 – 25</w:t>
            </w:r>
          </w:p>
        </w:tc>
        <w:tc>
          <w:tcPr>
            <w:tcW w:w="1286" w:type="dxa"/>
            <w:tcBorders>
              <w:top w:val="nil"/>
              <w:bottom w:val="nil"/>
              <w:right w:val="nil"/>
            </w:tcBorders>
          </w:tcPr>
          <w:p w14:paraId="62D0CE79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F83A4FD" w14:textId="09A007AC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0863D5B" w14:textId="03A91BE6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</w:tr>
      <w:tr w:rsidR="00D73C40" w:rsidRPr="005D7EF6" w14:paraId="3E9BD30C" w14:textId="38EC8FB8" w:rsidTr="003958FD">
        <w:tc>
          <w:tcPr>
            <w:tcW w:w="2834" w:type="dxa"/>
            <w:tcBorders>
              <w:left w:val="nil"/>
              <w:right w:val="nil"/>
            </w:tcBorders>
          </w:tcPr>
          <w:p w14:paraId="4782E801" w14:textId="158B2F73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40B3FD0" w14:textId="00CEB890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023FC80C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29D956" w14:textId="7BA5EFBE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Kupferspirale</w:t>
            </w:r>
          </w:p>
        </w:tc>
        <w:tc>
          <w:tcPr>
            <w:tcW w:w="1266" w:type="dxa"/>
          </w:tcPr>
          <w:p w14:paraId="66526082" w14:textId="27EB567E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0,3 - 0,8</w:t>
            </w:r>
          </w:p>
        </w:tc>
      </w:tr>
      <w:tr w:rsidR="00D73C40" w:rsidRPr="005D7EF6" w14:paraId="11B8F3D4" w14:textId="014D384B" w:rsidTr="003958FD">
        <w:tc>
          <w:tcPr>
            <w:tcW w:w="2834" w:type="dxa"/>
          </w:tcPr>
          <w:p w14:paraId="7AFC4DF2" w14:textId="3B0BA2F3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Kalendermethode</w:t>
            </w:r>
          </w:p>
        </w:tc>
        <w:tc>
          <w:tcPr>
            <w:tcW w:w="1135" w:type="dxa"/>
          </w:tcPr>
          <w:p w14:paraId="3C472DE8" w14:textId="48770684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29E74455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A2B9B0" w14:textId="0A61ED07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Hormonspirale</w:t>
            </w:r>
          </w:p>
        </w:tc>
        <w:tc>
          <w:tcPr>
            <w:tcW w:w="1266" w:type="dxa"/>
          </w:tcPr>
          <w:p w14:paraId="0A75394A" w14:textId="69CEE36E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0,16</w:t>
            </w:r>
          </w:p>
        </w:tc>
      </w:tr>
      <w:tr w:rsidR="00D73C40" w:rsidRPr="005D7EF6" w14:paraId="41497E5C" w14:textId="4E238D85" w:rsidTr="003958FD">
        <w:tc>
          <w:tcPr>
            <w:tcW w:w="2834" w:type="dxa"/>
            <w:tcBorders>
              <w:bottom w:val="single" w:sz="4" w:space="0" w:color="auto"/>
            </w:tcBorders>
          </w:tcPr>
          <w:p w14:paraId="7F6EB79F" w14:textId="1941BF50" w:rsidR="00D73C40" w:rsidRPr="00907D4C" w:rsidRDefault="00D73C40" w:rsidP="00D73C40">
            <w:pPr>
              <w:rPr>
                <w:sz w:val="20"/>
                <w:szCs w:val="20"/>
              </w:rPr>
            </w:pPr>
            <w:proofErr w:type="spellStart"/>
            <w:r w:rsidRPr="00907D4C">
              <w:rPr>
                <w:sz w:val="20"/>
                <w:szCs w:val="20"/>
              </w:rPr>
              <w:t>symptothermale</w:t>
            </w:r>
            <w:proofErr w:type="spellEnd"/>
            <w:r w:rsidRPr="00907D4C">
              <w:rPr>
                <w:sz w:val="20"/>
                <w:szCs w:val="20"/>
              </w:rPr>
              <w:t xml:space="preserve"> Methode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5874406" w14:textId="0032B701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0,4 - 1,8</w:t>
            </w:r>
            <w:r w:rsidRPr="00907D4C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1AF41AE5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5E59A" w14:textId="40F7F483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Hormonimplantat</w:t>
            </w:r>
          </w:p>
        </w:tc>
        <w:tc>
          <w:tcPr>
            <w:tcW w:w="1266" w:type="dxa"/>
          </w:tcPr>
          <w:p w14:paraId="44F91127" w14:textId="24C6B6AF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0 - 0,08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D73C40" w:rsidRPr="005D7EF6" w14:paraId="2282A3AF" w14:textId="2213E1A2" w:rsidTr="003958FD">
        <w:tc>
          <w:tcPr>
            <w:tcW w:w="2834" w:type="dxa"/>
            <w:tcBorders>
              <w:left w:val="nil"/>
              <w:right w:val="nil"/>
            </w:tcBorders>
          </w:tcPr>
          <w:p w14:paraId="3B8163A4" w14:textId="418FD676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DD86AB5" w14:textId="358B718C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3F848F13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8DAB50" w14:textId="6651ECE1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Depotspritze</w:t>
            </w:r>
          </w:p>
        </w:tc>
        <w:tc>
          <w:tcPr>
            <w:tcW w:w="1266" w:type="dxa"/>
          </w:tcPr>
          <w:p w14:paraId="6FC3BCDF" w14:textId="6FF96F11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0,3 - 0,88</w:t>
            </w:r>
          </w:p>
        </w:tc>
      </w:tr>
      <w:tr w:rsidR="00D73C40" w:rsidRPr="005D7EF6" w14:paraId="3298D5D5" w14:textId="4331999E" w:rsidTr="003958FD">
        <w:tc>
          <w:tcPr>
            <w:tcW w:w="2834" w:type="dxa"/>
          </w:tcPr>
          <w:p w14:paraId="08CE22DB" w14:textId="4990CB03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Sterilisation der Frau</w:t>
            </w:r>
          </w:p>
        </w:tc>
        <w:tc>
          <w:tcPr>
            <w:tcW w:w="1135" w:type="dxa"/>
          </w:tcPr>
          <w:p w14:paraId="671BDA76" w14:textId="52C90170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0,2 - 0,3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30D9683E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E39703" w14:textId="4F26DEA1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Verhütungspflaster</w:t>
            </w:r>
          </w:p>
        </w:tc>
        <w:tc>
          <w:tcPr>
            <w:tcW w:w="1266" w:type="dxa"/>
          </w:tcPr>
          <w:p w14:paraId="60DF1DBC" w14:textId="21379F48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0,72 - 0,9</w:t>
            </w:r>
          </w:p>
        </w:tc>
      </w:tr>
      <w:tr w:rsidR="00D73C40" w:rsidRPr="005D7EF6" w14:paraId="2E1EB28A" w14:textId="6A849F3E" w:rsidTr="003958FD">
        <w:tc>
          <w:tcPr>
            <w:tcW w:w="2834" w:type="dxa"/>
            <w:tcBorders>
              <w:bottom w:val="single" w:sz="4" w:space="0" w:color="auto"/>
            </w:tcBorders>
          </w:tcPr>
          <w:p w14:paraId="2C50149C" w14:textId="04490D3E" w:rsidR="00D73C40" w:rsidRPr="00907D4C" w:rsidRDefault="00D73C40" w:rsidP="00D73C40">
            <w:pPr>
              <w:rPr>
                <w:sz w:val="20"/>
                <w:szCs w:val="20"/>
              </w:rPr>
            </w:pPr>
            <w:bookmarkStart w:id="0" w:name="_Hlk78965562"/>
            <w:r w:rsidRPr="00907D4C">
              <w:rPr>
                <w:sz w:val="20"/>
                <w:szCs w:val="20"/>
              </w:rPr>
              <w:t>Sterilisation des Mannes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7338269" w14:textId="018DB80D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2C9184A5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23C209" w14:textId="6DE649FF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Vaginalring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CDE0794" w14:textId="36B1A85C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0,4 - 0,65</w:t>
            </w:r>
          </w:p>
        </w:tc>
      </w:tr>
      <w:tr w:rsidR="00D73C40" w:rsidRPr="005D7EF6" w14:paraId="7BD10BD5" w14:textId="6CD5B4D8" w:rsidTr="003958FD">
        <w:tc>
          <w:tcPr>
            <w:tcW w:w="2834" w:type="dxa"/>
            <w:tcBorders>
              <w:left w:val="nil"/>
              <w:right w:val="nil"/>
            </w:tcBorders>
          </w:tcPr>
          <w:p w14:paraId="6AB41B0B" w14:textId="229DA1A3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A7E56B5" w14:textId="213252C2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1AE93FA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E41C913" w14:textId="659A7605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D87BAE1" w14:textId="73AEEE6C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</w:tr>
      <w:tr w:rsidR="00D73C40" w:rsidRPr="005D7EF6" w14:paraId="20E8DAE6" w14:textId="3B191FAF" w:rsidTr="003958FD">
        <w:tc>
          <w:tcPr>
            <w:tcW w:w="2834" w:type="dxa"/>
          </w:tcPr>
          <w:p w14:paraId="1DBFDF6B" w14:textId="79F9DE78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Koitus </w:t>
            </w:r>
            <w:proofErr w:type="spellStart"/>
            <w:r w:rsidRPr="00907D4C">
              <w:rPr>
                <w:sz w:val="20"/>
                <w:szCs w:val="20"/>
              </w:rPr>
              <w:t>interruptus</w:t>
            </w:r>
            <w:proofErr w:type="spellEnd"/>
          </w:p>
        </w:tc>
        <w:tc>
          <w:tcPr>
            <w:tcW w:w="1135" w:type="dxa"/>
          </w:tcPr>
          <w:p w14:paraId="64EADB38" w14:textId="01D899A2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4 - 18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4877E273" w14:textId="77777777" w:rsidR="00D73C40" w:rsidRPr="00907D4C" w:rsidRDefault="00D73C40" w:rsidP="00D73C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257CE" w14:textId="18E5F970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keine Verhütung</w:t>
            </w:r>
          </w:p>
        </w:tc>
        <w:tc>
          <w:tcPr>
            <w:tcW w:w="1266" w:type="dxa"/>
          </w:tcPr>
          <w:p w14:paraId="4DE13D29" w14:textId="53627B93" w:rsidR="00D73C40" w:rsidRPr="00907D4C" w:rsidRDefault="00D73C40" w:rsidP="00D73C40">
            <w:pPr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85</w:t>
            </w:r>
          </w:p>
        </w:tc>
      </w:tr>
    </w:tbl>
    <w:bookmarkEnd w:id="0"/>
    <w:p w14:paraId="3D3B017C" w14:textId="77777777" w:rsidR="00BA0FEA" w:rsidRDefault="005D7EF6" w:rsidP="00907D4C">
      <w:pPr>
        <w:pStyle w:val="bodytext"/>
        <w:spacing w:before="120" w:beforeAutospacing="0" w:after="60" w:afterAutospacing="0"/>
        <w:ind w:left="142" w:hanging="142"/>
        <w:rPr>
          <w:bCs/>
          <w:sz w:val="18"/>
          <w:szCs w:val="18"/>
        </w:rPr>
      </w:pPr>
      <w:r w:rsidRPr="00F7298E">
        <w:rPr>
          <w:bCs/>
          <w:sz w:val="18"/>
          <w:szCs w:val="18"/>
        </w:rPr>
        <w:t>Kommentar</w:t>
      </w:r>
      <w:r w:rsidR="00BA0FEA">
        <w:rPr>
          <w:bCs/>
          <w:sz w:val="18"/>
          <w:szCs w:val="18"/>
        </w:rPr>
        <w:t>e zu den Zahlenangaben:</w:t>
      </w:r>
    </w:p>
    <w:p w14:paraId="469A6638" w14:textId="0EC485C0" w:rsidR="00D73C40" w:rsidRPr="00F7298E" w:rsidRDefault="00BA0FEA" w:rsidP="00D73C40">
      <w:pPr>
        <w:pStyle w:val="bodytext"/>
        <w:spacing w:before="0" w:beforeAutospacing="0" w:after="0" w:afterAutospacing="0"/>
        <w:ind w:left="142" w:hanging="142"/>
        <w:rPr>
          <w:sz w:val="18"/>
          <w:szCs w:val="18"/>
        </w:rPr>
      </w:pPr>
      <w:r w:rsidRPr="003958FD">
        <w:rPr>
          <w:bCs/>
          <w:sz w:val="18"/>
          <w:szCs w:val="18"/>
          <w:vertAlign w:val="superscript"/>
        </w:rPr>
        <w:t>1</w:t>
      </w:r>
      <w:r w:rsidRPr="00F7298E">
        <w:rPr>
          <w:bCs/>
          <w:sz w:val="18"/>
          <w:szCs w:val="18"/>
        </w:rPr>
        <w:t xml:space="preserve"> </w:t>
      </w:r>
      <w:r w:rsidR="00D73C40" w:rsidRPr="00F7298E">
        <w:rPr>
          <w:bCs/>
          <w:sz w:val="18"/>
          <w:szCs w:val="18"/>
        </w:rPr>
        <w:t>nur wenn kombiniert mit Verzicht auf Geschlechtsverkehr an den fruchtbaren Tagen</w:t>
      </w:r>
    </w:p>
    <w:p w14:paraId="4CF5E942" w14:textId="3D47E2D7" w:rsidR="00C316B3" w:rsidRPr="00F7298E" w:rsidRDefault="005D7EF6" w:rsidP="00E94FFC">
      <w:pPr>
        <w:pStyle w:val="bodytext"/>
        <w:spacing w:before="0" w:beforeAutospacing="0" w:after="0" w:afterAutospacing="0"/>
        <w:ind w:left="142" w:hanging="142"/>
        <w:rPr>
          <w:sz w:val="18"/>
          <w:szCs w:val="18"/>
        </w:rPr>
      </w:pPr>
      <w:r w:rsidRPr="003958FD">
        <w:rPr>
          <w:bCs/>
          <w:sz w:val="18"/>
          <w:szCs w:val="18"/>
          <w:vertAlign w:val="superscript"/>
        </w:rPr>
        <w:t>2</w:t>
      </w:r>
      <w:r w:rsidRPr="00F7298E">
        <w:rPr>
          <w:bCs/>
          <w:sz w:val="18"/>
          <w:szCs w:val="18"/>
        </w:rPr>
        <w:t xml:space="preserve"> </w:t>
      </w:r>
      <w:r w:rsidR="00956B4B" w:rsidRPr="00F7298E">
        <w:rPr>
          <w:sz w:val="18"/>
          <w:szCs w:val="18"/>
        </w:rPr>
        <w:t xml:space="preserve">Die Angaben für die sogenannten </w:t>
      </w:r>
      <w:proofErr w:type="spellStart"/>
      <w:r w:rsidR="00956B4B" w:rsidRPr="00F7298E">
        <w:rPr>
          <w:sz w:val="18"/>
          <w:szCs w:val="18"/>
        </w:rPr>
        <w:t>Barrieremethoden</w:t>
      </w:r>
      <w:proofErr w:type="spellEnd"/>
      <w:r w:rsidR="00956B4B" w:rsidRPr="00F7298E">
        <w:rPr>
          <w:sz w:val="18"/>
          <w:szCs w:val="18"/>
        </w:rPr>
        <w:t xml:space="preserve"> der Frau</w:t>
      </w:r>
      <w:r w:rsidR="00956B4B">
        <w:rPr>
          <w:sz w:val="18"/>
          <w:szCs w:val="18"/>
        </w:rPr>
        <w:t>,</w:t>
      </w:r>
      <w:r w:rsidR="00956B4B" w:rsidRPr="00F7298E">
        <w:rPr>
          <w:sz w:val="18"/>
          <w:szCs w:val="18"/>
        </w:rPr>
        <w:t xml:space="preserve"> Diaphragma und Verhütungskappen gelten nur, wenn diese zusammen mit einem Verhütungsgel angewandt werden.</w:t>
      </w:r>
      <w:r w:rsidR="00C316B3" w:rsidRPr="00F7298E">
        <w:rPr>
          <w:bCs/>
          <w:sz w:val="18"/>
          <w:szCs w:val="18"/>
        </w:rPr>
        <w:t xml:space="preserve"> </w:t>
      </w:r>
    </w:p>
    <w:p w14:paraId="24A16910" w14:textId="09D632D7" w:rsidR="005D7EF6" w:rsidRPr="00F7298E" w:rsidRDefault="00C316B3" w:rsidP="00E94FFC">
      <w:pPr>
        <w:pStyle w:val="bodytext"/>
        <w:spacing w:before="0" w:beforeAutospacing="0" w:after="0" w:afterAutospacing="0"/>
        <w:ind w:left="142" w:hanging="142"/>
        <w:rPr>
          <w:sz w:val="18"/>
          <w:szCs w:val="18"/>
        </w:rPr>
      </w:pPr>
      <w:r w:rsidRPr="003958FD">
        <w:rPr>
          <w:bCs/>
          <w:sz w:val="18"/>
          <w:szCs w:val="18"/>
          <w:vertAlign w:val="superscript"/>
        </w:rPr>
        <w:t>3</w:t>
      </w:r>
      <w:r w:rsidRPr="00F7298E">
        <w:rPr>
          <w:bCs/>
          <w:sz w:val="18"/>
          <w:szCs w:val="18"/>
        </w:rPr>
        <w:t xml:space="preserve"> </w:t>
      </w:r>
      <w:r w:rsidR="00956B4B" w:rsidRPr="00F7298E">
        <w:rPr>
          <w:sz w:val="18"/>
          <w:szCs w:val="18"/>
        </w:rPr>
        <w:t xml:space="preserve">Die Angaben zur Sicherheit werden vom Hersteller gemacht. Unabhängige Studien zur Sicherheit von Lea </w:t>
      </w:r>
      <w:proofErr w:type="spellStart"/>
      <w:r w:rsidR="00956B4B" w:rsidRPr="00F7298E">
        <w:rPr>
          <w:sz w:val="18"/>
          <w:szCs w:val="18"/>
        </w:rPr>
        <w:t>contraceptivum</w:t>
      </w:r>
      <w:proofErr w:type="spellEnd"/>
      <w:r w:rsidR="00956B4B" w:rsidRPr="00F7298E">
        <w:rPr>
          <w:sz w:val="18"/>
          <w:szCs w:val="18"/>
        </w:rPr>
        <w:t xml:space="preserve"> liegen nicht vor. Wahrscheinlich liegt die Versagerrate höher.</w:t>
      </w:r>
    </w:p>
    <w:p w14:paraId="5B907B61" w14:textId="1B729C70" w:rsidR="00D73C40" w:rsidRPr="00F7298E" w:rsidRDefault="00D73C40" w:rsidP="00D73C40">
      <w:pPr>
        <w:pStyle w:val="bodytext"/>
        <w:spacing w:before="0" w:beforeAutospacing="0" w:after="0" w:afterAutospacing="0"/>
        <w:ind w:left="142" w:hanging="142"/>
        <w:rPr>
          <w:sz w:val="18"/>
          <w:szCs w:val="18"/>
        </w:rPr>
      </w:pPr>
      <w:r w:rsidRPr="003958FD">
        <w:rPr>
          <w:bCs/>
          <w:sz w:val="18"/>
          <w:szCs w:val="18"/>
          <w:vertAlign w:val="superscript"/>
        </w:rPr>
        <w:t>4</w:t>
      </w:r>
      <w:r w:rsidRPr="00D73C40">
        <w:rPr>
          <w:bCs/>
          <w:sz w:val="18"/>
          <w:szCs w:val="18"/>
        </w:rPr>
        <w:t xml:space="preserve"> </w:t>
      </w:r>
      <w:r w:rsidRPr="00F7298E">
        <w:rPr>
          <w:sz w:val="18"/>
          <w:szCs w:val="18"/>
        </w:rPr>
        <w:t>Wie andere große Studien auch, schätzt eine große australische Studie von 2005 den Pearl-Index auf ca. 0,1%, wobei ein großer Teil der Versager auf einer fehlerhaften Einlage beruht, s. dazu: Familienplanungsrundbrief 02/2005, S. 17.</w:t>
      </w:r>
    </w:p>
    <w:p w14:paraId="750591F6" w14:textId="3FE04707" w:rsidR="005D7EF6" w:rsidRPr="004A55AE" w:rsidRDefault="005D7EF6" w:rsidP="004A55AE">
      <w:pPr>
        <w:spacing w:before="60"/>
        <w:jc w:val="right"/>
        <w:rPr>
          <w:i/>
          <w:sz w:val="18"/>
          <w:szCs w:val="18"/>
        </w:rPr>
      </w:pPr>
      <w:r w:rsidRPr="004A55AE">
        <w:rPr>
          <w:i/>
          <w:sz w:val="18"/>
          <w:szCs w:val="18"/>
        </w:rPr>
        <w:t>Quelle</w:t>
      </w:r>
      <w:r w:rsidR="00A00B62">
        <w:rPr>
          <w:i/>
          <w:sz w:val="18"/>
          <w:szCs w:val="18"/>
        </w:rPr>
        <w:t xml:space="preserve"> (verändert):</w:t>
      </w:r>
      <w:r w:rsidRPr="00DA0B28">
        <w:rPr>
          <w:i/>
          <w:sz w:val="18"/>
          <w:szCs w:val="18"/>
        </w:rPr>
        <w:t xml:space="preserve"> </w:t>
      </w:r>
      <w:hyperlink r:id="rId8" w:history="1">
        <w:r w:rsidR="001D5473" w:rsidRPr="00DA0B28">
          <w:rPr>
            <w:rStyle w:val="Hyperlink"/>
            <w:i/>
            <w:color w:val="auto"/>
            <w:sz w:val="18"/>
            <w:szCs w:val="18"/>
          </w:rPr>
          <w:t>https://www.profamilia.de/themen/ver</w:t>
        </w:r>
        <w:r w:rsidR="001D5473" w:rsidRPr="00DA0B28">
          <w:rPr>
            <w:rStyle w:val="Hyperlink"/>
            <w:i/>
            <w:color w:val="auto"/>
            <w:sz w:val="18"/>
            <w:szCs w:val="18"/>
          </w:rPr>
          <w:t>h</w:t>
        </w:r>
        <w:r w:rsidR="001D5473" w:rsidRPr="00DA0B28">
          <w:rPr>
            <w:rStyle w:val="Hyperlink"/>
            <w:i/>
            <w:color w:val="auto"/>
            <w:sz w:val="18"/>
            <w:szCs w:val="18"/>
          </w:rPr>
          <w:t>uetung/pearl-index</w:t>
        </w:r>
      </w:hyperlink>
      <w:r w:rsidR="001D5473">
        <w:rPr>
          <w:i/>
          <w:sz w:val="18"/>
          <w:szCs w:val="18"/>
        </w:rPr>
        <w:t xml:space="preserve"> </w:t>
      </w:r>
      <w:r w:rsidR="00F54552">
        <w:rPr>
          <w:i/>
          <w:sz w:val="18"/>
          <w:szCs w:val="18"/>
        </w:rPr>
        <w:t>(letzter Zugriff: 22.12.</w:t>
      </w:r>
      <w:bookmarkStart w:id="1" w:name="_GoBack"/>
      <w:bookmarkEnd w:id="1"/>
      <w:r w:rsidR="00A00B62">
        <w:rPr>
          <w:i/>
          <w:sz w:val="18"/>
          <w:szCs w:val="18"/>
        </w:rPr>
        <w:t>21)</w:t>
      </w:r>
    </w:p>
    <w:p w14:paraId="36A04BA2" w14:textId="3367E9CD" w:rsidR="001E136E" w:rsidRDefault="001E136E" w:rsidP="00971ABB">
      <w:pPr>
        <w:pBdr>
          <w:bottom w:val="single" w:sz="4" w:space="1" w:color="auto"/>
        </w:pBdr>
      </w:pPr>
    </w:p>
    <w:p w14:paraId="03209E9D" w14:textId="69E5F977" w:rsidR="005D7EF6" w:rsidRPr="00FA43F8" w:rsidRDefault="005D7EF6" w:rsidP="00971ABB">
      <w:pPr>
        <w:pBdr>
          <w:bottom w:val="single" w:sz="4" w:space="1" w:color="auto"/>
        </w:pBdr>
        <w:rPr>
          <w:b/>
        </w:rPr>
      </w:pPr>
      <w:r w:rsidRPr="00FA43F8">
        <w:rPr>
          <w:b/>
        </w:rPr>
        <w:t>Aufgaben:</w:t>
      </w:r>
    </w:p>
    <w:p w14:paraId="718BA3BB" w14:textId="57F1F6B5" w:rsidR="005D7EF6" w:rsidRDefault="005D7EF6" w:rsidP="00E94FFC">
      <w:pPr>
        <w:spacing w:before="60"/>
        <w:ind w:left="284" w:hanging="284"/>
      </w:pPr>
      <w:r>
        <w:t xml:space="preserve">1. Erkläre kurz, was im Text jeweils damit gemeint ist: Studie, Hersteller, Anwendungsfehler, </w:t>
      </w:r>
      <w:r w:rsidR="00FF3934">
        <w:t>„</w:t>
      </w:r>
      <w:r>
        <w:t>in der Literatur</w:t>
      </w:r>
      <w:r w:rsidR="00FF3934">
        <w:t>“</w:t>
      </w:r>
      <w:r w:rsidR="00D84687">
        <w:t>.</w:t>
      </w:r>
    </w:p>
    <w:p w14:paraId="595B5024" w14:textId="378F6165" w:rsidR="003958FD" w:rsidRDefault="005D7EF6" w:rsidP="003958FD">
      <w:pPr>
        <w:spacing w:before="60"/>
        <w:ind w:left="284" w:hanging="284"/>
      </w:pPr>
      <w:r>
        <w:t xml:space="preserve">2. </w:t>
      </w:r>
      <w:r w:rsidR="003958FD">
        <w:t xml:space="preserve">Beschreibe Schritt für Schritt, wie man bei </w:t>
      </w:r>
      <w:r w:rsidR="003F64F4">
        <w:t>der Bestimmung des Pearl-Index</w:t>
      </w:r>
      <w:r w:rsidR="003958FD">
        <w:t xml:space="preserve"> vermutlich vorgeht.</w:t>
      </w:r>
    </w:p>
    <w:p w14:paraId="1EA38443" w14:textId="119C6AD6" w:rsidR="003958FD" w:rsidRPr="00C40D77" w:rsidRDefault="005D7EF6" w:rsidP="003958FD">
      <w:pPr>
        <w:spacing w:before="60"/>
        <w:ind w:left="284" w:hanging="284"/>
      </w:pPr>
      <w:r>
        <w:t xml:space="preserve">3. </w:t>
      </w:r>
      <w:r w:rsidR="003958FD">
        <w:t>Überprüfe, ob die für die Zuverlässigkeit von naturwissenschaftlich</w:t>
      </w:r>
      <w:r w:rsidR="001B2672">
        <w:t>en Experimenten geltenden Kriterien</w:t>
      </w:r>
      <w:r w:rsidR="003958FD">
        <w:t xml:space="preserve"> bei der Bestimmung </w:t>
      </w:r>
      <w:r w:rsidR="003958FD" w:rsidRPr="00C40D77">
        <w:t xml:space="preserve">des </w:t>
      </w:r>
      <w:r w:rsidR="000641E2">
        <w:t>Pearl-Index</w:t>
      </w:r>
      <w:r w:rsidR="003958FD" w:rsidRPr="00C40D77">
        <w:t xml:space="preserve"> eingehalten werden: </w:t>
      </w:r>
    </w:p>
    <w:p w14:paraId="0215CC6B" w14:textId="105740F5" w:rsidR="003958FD" w:rsidRPr="00F7298E" w:rsidRDefault="00A2224F" w:rsidP="003958FD">
      <w:pPr>
        <w:ind w:left="1985" w:hanging="1701"/>
        <w:rPr>
          <w:sz w:val="20"/>
          <w:szCs w:val="20"/>
        </w:rPr>
      </w:pPr>
      <w:r>
        <w:rPr>
          <w:sz w:val="20"/>
          <w:szCs w:val="20"/>
        </w:rPr>
        <w:t>Faktoren</w:t>
      </w:r>
      <w:r w:rsidR="00C40D77">
        <w:rPr>
          <w:sz w:val="20"/>
          <w:szCs w:val="20"/>
        </w:rPr>
        <w:t>kontrolle</w:t>
      </w:r>
      <w:r w:rsidR="003958FD" w:rsidRPr="00C40D77">
        <w:rPr>
          <w:sz w:val="20"/>
          <w:szCs w:val="20"/>
        </w:rPr>
        <w:t xml:space="preserve">: </w:t>
      </w:r>
      <w:r w:rsidR="003958FD" w:rsidRPr="00C40D77">
        <w:rPr>
          <w:sz w:val="20"/>
          <w:szCs w:val="20"/>
        </w:rPr>
        <w:tab/>
        <w:t>Bei einem</w:t>
      </w:r>
      <w:r w:rsidR="00C40D77">
        <w:rPr>
          <w:sz w:val="20"/>
          <w:szCs w:val="20"/>
        </w:rPr>
        <w:t xml:space="preserve"> Experiment darf nur der Faktor </w:t>
      </w:r>
      <w:r w:rsidR="003958FD" w:rsidRPr="00C40D77">
        <w:rPr>
          <w:sz w:val="20"/>
          <w:szCs w:val="20"/>
        </w:rPr>
        <w:t>variiert werden, bei dem man untersuchen will, welchen</w:t>
      </w:r>
      <w:r w:rsidR="003958FD" w:rsidRPr="00F7298E">
        <w:rPr>
          <w:sz w:val="20"/>
          <w:szCs w:val="20"/>
        </w:rPr>
        <w:t xml:space="preserve"> Effekt er hat. Alle anderen Einflussfaktoren </w:t>
      </w:r>
      <w:r w:rsidR="003958FD">
        <w:rPr>
          <w:sz w:val="20"/>
          <w:szCs w:val="20"/>
        </w:rPr>
        <w:t>müssen</w:t>
      </w:r>
      <w:r w:rsidR="003958FD" w:rsidRPr="00F7298E">
        <w:rPr>
          <w:sz w:val="20"/>
          <w:szCs w:val="20"/>
        </w:rPr>
        <w:t xml:space="preserve"> gleich bleiben</w:t>
      </w:r>
      <w:r w:rsidR="003958FD">
        <w:rPr>
          <w:sz w:val="20"/>
          <w:szCs w:val="20"/>
        </w:rPr>
        <w:t xml:space="preserve"> – sonst sind sie womöglich für das Ergebnis verantwortlich</w:t>
      </w:r>
      <w:r w:rsidR="00266F00">
        <w:rPr>
          <w:sz w:val="20"/>
          <w:szCs w:val="20"/>
        </w:rPr>
        <w:t>.</w:t>
      </w:r>
      <w:r w:rsidR="003958FD" w:rsidRPr="00F7298E">
        <w:rPr>
          <w:sz w:val="20"/>
          <w:szCs w:val="20"/>
        </w:rPr>
        <w:br/>
      </w:r>
      <w:r w:rsidR="003958FD" w:rsidRPr="00F7298E">
        <w:rPr>
          <w:i/>
          <w:sz w:val="20"/>
          <w:szCs w:val="20"/>
        </w:rPr>
        <w:t>Bei</w:t>
      </w:r>
      <w:r w:rsidR="003C50EA">
        <w:rPr>
          <w:i/>
          <w:sz w:val="20"/>
          <w:szCs w:val="20"/>
        </w:rPr>
        <w:t>spiel: Wenn man untersuchen möchte,</w:t>
      </w:r>
      <w:r w:rsidR="003958FD" w:rsidRPr="00F7298E">
        <w:rPr>
          <w:i/>
          <w:sz w:val="20"/>
          <w:szCs w:val="20"/>
        </w:rPr>
        <w:t xml:space="preserve"> ob </w:t>
      </w:r>
      <w:r w:rsidR="00D46425">
        <w:rPr>
          <w:i/>
          <w:sz w:val="20"/>
          <w:szCs w:val="20"/>
        </w:rPr>
        <w:t xml:space="preserve">sich </w:t>
      </w:r>
      <w:r w:rsidR="003958FD" w:rsidRPr="00F7298E">
        <w:rPr>
          <w:i/>
          <w:sz w:val="20"/>
          <w:szCs w:val="20"/>
        </w:rPr>
        <w:t>mehr Mikroorganismen auf dem Pult oder a</w:t>
      </w:r>
      <w:r w:rsidR="00D46425">
        <w:rPr>
          <w:i/>
          <w:sz w:val="20"/>
          <w:szCs w:val="20"/>
        </w:rPr>
        <w:t>uf der Türklinke befinden</w:t>
      </w:r>
      <w:r w:rsidR="003C50EA">
        <w:rPr>
          <w:i/>
          <w:sz w:val="20"/>
          <w:szCs w:val="20"/>
        </w:rPr>
        <w:t xml:space="preserve">, muss man </w:t>
      </w:r>
      <w:r w:rsidR="00294889">
        <w:rPr>
          <w:i/>
          <w:sz w:val="20"/>
          <w:szCs w:val="20"/>
        </w:rPr>
        <w:t>mit der</w:t>
      </w:r>
      <w:r w:rsidR="003958FD" w:rsidRPr="00F7298E">
        <w:rPr>
          <w:i/>
          <w:sz w:val="20"/>
          <w:szCs w:val="20"/>
        </w:rPr>
        <w:t xml:space="preserve"> gleichen </w:t>
      </w:r>
      <w:r w:rsidR="00294889">
        <w:rPr>
          <w:i/>
          <w:sz w:val="20"/>
          <w:szCs w:val="20"/>
        </w:rPr>
        <w:t xml:space="preserve">Art von </w:t>
      </w:r>
      <w:r w:rsidR="003958FD" w:rsidRPr="00F7298E">
        <w:rPr>
          <w:i/>
          <w:sz w:val="20"/>
          <w:szCs w:val="20"/>
        </w:rPr>
        <w:t>Tupfer auf dieselbe Weise eine Probe nehmen, die Proben auf dem gleichen Nährboden die gleiche Zeit lang bei der</w:t>
      </w:r>
      <w:r w:rsidR="00D46425">
        <w:rPr>
          <w:i/>
          <w:sz w:val="20"/>
          <w:szCs w:val="20"/>
        </w:rPr>
        <w:t xml:space="preserve"> </w:t>
      </w:r>
      <w:r w:rsidR="003958FD" w:rsidRPr="00F7298E">
        <w:rPr>
          <w:i/>
          <w:sz w:val="20"/>
          <w:szCs w:val="20"/>
        </w:rPr>
        <w:t>gl</w:t>
      </w:r>
      <w:r w:rsidR="003C50EA">
        <w:rPr>
          <w:i/>
          <w:sz w:val="20"/>
          <w:szCs w:val="20"/>
        </w:rPr>
        <w:t>eichen Temperatur bebrüten etc</w:t>
      </w:r>
      <w:r w:rsidR="007A21CB">
        <w:rPr>
          <w:i/>
          <w:sz w:val="20"/>
          <w:szCs w:val="20"/>
        </w:rPr>
        <w:t>.</w:t>
      </w:r>
    </w:p>
    <w:p w14:paraId="194FE2B1" w14:textId="0941A3BE" w:rsidR="003958FD" w:rsidRPr="00F7298E" w:rsidRDefault="003958FD" w:rsidP="003958FD">
      <w:pPr>
        <w:ind w:left="1985" w:hanging="1701"/>
        <w:rPr>
          <w:sz w:val="20"/>
          <w:szCs w:val="20"/>
        </w:rPr>
      </w:pPr>
      <w:r w:rsidRPr="00F7298E">
        <w:rPr>
          <w:sz w:val="20"/>
          <w:szCs w:val="20"/>
        </w:rPr>
        <w:t>Kontrollversuch:</w:t>
      </w:r>
      <w:r w:rsidRPr="00F7298E">
        <w:rPr>
          <w:sz w:val="20"/>
          <w:szCs w:val="20"/>
        </w:rPr>
        <w:tab/>
        <w:t>Mit einem Kontrollversuch (= Blindprobe) lässt sich feststellen, ob das Experiment über</w:t>
      </w:r>
      <w:r w:rsidRPr="00F7298E">
        <w:rPr>
          <w:sz w:val="20"/>
          <w:szCs w:val="20"/>
        </w:rPr>
        <w:softHyphen/>
        <w:t>haupt funktioniert bzw. wie es ausfällt, wenn man einen Einflussfaktor nicht verändert.</w:t>
      </w:r>
      <w:r w:rsidRPr="00F7298E">
        <w:rPr>
          <w:sz w:val="20"/>
          <w:szCs w:val="20"/>
        </w:rPr>
        <w:br/>
      </w:r>
      <w:r w:rsidRPr="00F7298E">
        <w:rPr>
          <w:i/>
          <w:sz w:val="20"/>
          <w:szCs w:val="20"/>
        </w:rPr>
        <w:t>Beispiel: Man testet, ob bei dem Verfahren überhaupt Mikroorganismen wachsen und wie</w:t>
      </w:r>
      <w:r w:rsidR="00FF3934">
        <w:rPr>
          <w:i/>
          <w:sz w:val="20"/>
          <w:szCs w:val="20"/>
        </w:rPr>
        <w:t xml:space="preserve"> </w:t>
      </w:r>
      <w:r w:rsidRPr="00F7298E">
        <w:rPr>
          <w:i/>
          <w:sz w:val="20"/>
          <w:szCs w:val="20"/>
        </w:rPr>
        <w:t>viele Mikroorganismen wachsen, ohne dass man eine Pr</w:t>
      </w:r>
      <w:r w:rsidR="007A21CB">
        <w:rPr>
          <w:i/>
          <w:sz w:val="20"/>
          <w:szCs w:val="20"/>
        </w:rPr>
        <w:t>obe auf den Nährboden streicht.</w:t>
      </w:r>
    </w:p>
    <w:p w14:paraId="28B84E29" w14:textId="2F78E525" w:rsidR="003958FD" w:rsidRDefault="003958FD" w:rsidP="003958FD">
      <w:pPr>
        <w:ind w:left="1985" w:hanging="1701"/>
        <w:rPr>
          <w:sz w:val="20"/>
          <w:szCs w:val="20"/>
        </w:rPr>
      </w:pPr>
      <w:r w:rsidRPr="00F7298E">
        <w:rPr>
          <w:sz w:val="20"/>
          <w:szCs w:val="20"/>
        </w:rPr>
        <w:t>Wiederholung:</w:t>
      </w:r>
      <w:r w:rsidRPr="00F7298E">
        <w:rPr>
          <w:sz w:val="20"/>
          <w:szCs w:val="20"/>
        </w:rPr>
        <w:tab/>
        <w:t>Damit zufällige Effekte möglichst wenig in das Ergebnis eingehen, muss ein Experiment möglichst oft wiederholt werden (= hoher Stichprobenumfang). Durch Mittel</w:t>
      </w:r>
      <w:r w:rsidRPr="00F7298E">
        <w:rPr>
          <w:sz w:val="20"/>
          <w:szCs w:val="20"/>
        </w:rPr>
        <w:softHyphen/>
        <w:t>wert</w:t>
      </w:r>
      <w:r w:rsidRPr="00F7298E">
        <w:rPr>
          <w:sz w:val="20"/>
          <w:szCs w:val="20"/>
        </w:rPr>
        <w:softHyphen/>
        <w:t>bildung fallen Zufälle und Mess</w:t>
      </w:r>
      <w:r>
        <w:rPr>
          <w:sz w:val="20"/>
          <w:szCs w:val="20"/>
        </w:rPr>
        <w:softHyphen/>
      </w:r>
      <w:r w:rsidRPr="00F7298E">
        <w:rPr>
          <w:sz w:val="20"/>
          <w:szCs w:val="20"/>
        </w:rPr>
        <w:t>fehler dann nicht so stark ins Gewicht.</w:t>
      </w:r>
      <w:r w:rsidRPr="00F7298E">
        <w:rPr>
          <w:sz w:val="20"/>
          <w:szCs w:val="20"/>
        </w:rPr>
        <w:br/>
      </w:r>
      <w:r w:rsidRPr="00F7298E">
        <w:rPr>
          <w:i/>
          <w:sz w:val="20"/>
          <w:szCs w:val="20"/>
        </w:rPr>
        <w:t>Beispiel: Wenn man mit dem Tupfer einmal etwas mehr abstreicht, fällt das bei</w:t>
      </w:r>
      <w:r w:rsidR="003F7DDC">
        <w:rPr>
          <w:i/>
          <w:sz w:val="20"/>
          <w:szCs w:val="20"/>
        </w:rPr>
        <w:t xml:space="preserve"> zehn Experimenten nicht so ins</w:t>
      </w:r>
      <w:r w:rsidRPr="00F7298E">
        <w:rPr>
          <w:i/>
          <w:sz w:val="20"/>
          <w:szCs w:val="20"/>
        </w:rPr>
        <w:t xml:space="preserve"> Gew</w:t>
      </w:r>
      <w:r w:rsidR="003C4529">
        <w:rPr>
          <w:i/>
          <w:sz w:val="20"/>
          <w:szCs w:val="20"/>
        </w:rPr>
        <w:t>icht wie bei zwei Experimenten.</w:t>
      </w:r>
    </w:p>
    <w:p w14:paraId="419B4BAB" w14:textId="77777777" w:rsidR="003958FD" w:rsidRPr="00F7298E" w:rsidRDefault="003958FD" w:rsidP="003958FD">
      <w:pPr>
        <w:ind w:left="1985" w:hanging="1701"/>
        <w:rPr>
          <w:sz w:val="20"/>
          <w:szCs w:val="20"/>
        </w:rPr>
      </w:pPr>
      <w:r>
        <w:rPr>
          <w:sz w:val="20"/>
          <w:szCs w:val="20"/>
        </w:rPr>
        <w:t>Doppelblind-Test:</w:t>
      </w:r>
      <w:r>
        <w:rPr>
          <w:sz w:val="20"/>
          <w:szCs w:val="20"/>
        </w:rPr>
        <w:tab/>
        <w:t>Bei medizinischen Experimenten weiß weder Patient/in noch Versuchsleiter/in, ob ein Medikament oder eine wirkungslose Attrappe (Placebo) gegeben wird. So nehmen psychologische Effekte keinen (bzw. denselben) Einfluss, den man als Placebo-Effekt bezeichnet.</w:t>
      </w:r>
    </w:p>
    <w:p w14:paraId="73F4C202" w14:textId="2C70D5EF" w:rsidR="00DA4053" w:rsidRPr="00207AE2" w:rsidRDefault="00907D4C" w:rsidP="00CB2AF4">
      <w:pPr>
        <w:spacing w:before="60"/>
        <w:ind w:left="284" w:hanging="284"/>
        <w:rPr>
          <w:sz w:val="24"/>
          <w:szCs w:val="24"/>
        </w:rPr>
      </w:pPr>
      <w:r>
        <w:t xml:space="preserve">4. </w:t>
      </w:r>
      <w:r w:rsidR="003F7DDC">
        <w:t>Bewerte vor</w:t>
      </w:r>
      <w:r w:rsidR="005D7EF6">
        <w:t xml:space="preserve"> diesem Hintergrund die</w:t>
      </w:r>
      <w:r w:rsidR="00CB2AF4">
        <w:t xml:space="preserve"> Aussagekraft des Pearl-Index.</w:t>
      </w:r>
    </w:p>
    <w:sectPr w:rsidR="00DA4053" w:rsidRPr="00207AE2" w:rsidSect="00905451">
      <w:headerReference w:type="default" r:id="rId9"/>
      <w:pgSz w:w="11906" w:h="16838"/>
      <w:pgMar w:top="284" w:right="707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E25C" w14:textId="77777777" w:rsidR="009242B2" w:rsidRDefault="009242B2" w:rsidP="004E253A">
      <w:r>
        <w:separator/>
      </w:r>
    </w:p>
  </w:endnote>
  <w:endnote w:type="continuationSeparator" w:id="0">
    <w:p w14:paraId="2F1FCA63" w14:textId="77777777" w:rsidR="009242B2" w:rsidRDefault="009242B2" w:rsidP="004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LP4SeLi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eSerif-W4Semi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0FDA" w14:textId="77777777" w:rsidR="009242B2" w:rsidRDefault="009242B2" w:rsidP="004E253A">
      <w:r>
        <w:separator/>
      </w:r>
    </w:p>
  </w:footnote>
  <w:footnote w:type="continuationSeparator" w:id="0">
    <w:p w14:paraId="778BABB7" w14:textId="77777777" w:rsidR="009242B2" w:rsidRDefault="009242B2" w:rsidP="004E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597" w14:textId="26B83D00" w:rsidR="008908C5" w:rsidRPr="00D2602B" w:rsidRDefault="009969C0" w:rsidP="00294F7C">
    <w:pPr>
      <w:pStyle w:val="Kopfzeile"/>
      <w:tabs>
        <w:tab w:val="clear" w:pos="4536"/>
        <w:tab w:val="center" w:pos="4962"/>
        <w:tab w:val="left" w:pos="8222"/>
        <w:tab w:val="right" w:pos="10206"/>
      </w:tabs>
      <w:rPr>
        <w:bCs/>
        <w:sz w:val="18"/>
        <w:szCs w:val="18"/>
      </w:rPr>
    </w:pPr>
    <w:r w:rsidRPr="00D2602B">
      <w:rPr>
        <w:sz w:val="18"/>
        <w:szCs w:val="18"/>
      </w:rPr>
      <w:tab/>
    </w:r>
    <w:r w:rsidR="008908C5" w:rsidRPr="00D2602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7E"/>
    <w:multiLevelType w:val="hybridMultilevel"/>
    <w:tmpl w:val="BBF66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88F"/>
    <w:multiLevelType w:val="hybridMultilevel"/>
    <w:tmpl w:val="152A2E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0F45"/>
    <w:multiLevelType w:val="hybridMultilevel"/>
    <w:tmpl w:val="017AE636"/>
    <w:lvl w:ilvl="0" w:tplc="531CD19E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8F"/>
    <w:multiLevelType w:val="hybridMultilevel"/>
    <w:tmpl w:val="43DE0ED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F6D32"/>
    <w:multiLevelType w:val="hybridMultilevel"/>
    <w:tmpl w:val="61F2FBE4"/>
    <w:lvl w:ilvl="0" w:tplc="602CD8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48AA"/>
    <w:multiLevelType w:val="multilevel"/>
    <w:tmpl w:val="CD7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51322"/>
    <w:multiLevelType w:val="hybridMultilevel"/>
    <w:tmpl w:val="308AA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5CC"/>
    <w:multiLevelType w:val="hybridMultilevel"/>
    <w:tmpl w:val="4C802C2C"/>
    <w:lvl w:ilvl="0" w:tplc="9106000A">
      <w:start w:val="1"/>
      <w:numFmt w:val="bullet"/>
      <w:pStyle w:val="AufzhlungFeedback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8AE"/>
    <w:multiLevelType w:val="hybridMultilevel"/>
    <w:tmpl w:val="17C42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5C63"/>
    <w:multiLevelType w:val="multilevel"/>
    <w:tmpl w:val="AC502E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E005F8"/>
    <w:multiLevelType w:val="hybridMultilevel"/>
    <w:tmpl w:val="DF6818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05629"/>
    <w:multiLevelType w:val="hybridMultilevel"/>
    <w:tmpl w:val="D256E6F2"/>
    <w:lvl w:ilvl="0" w:tplc="6A4AFA10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431"/>
    <w:multiLevelType w:val="hybridMultilevel"/>
    <w:tmpl w:val="06C05308"/>
    <w:lvl w:ilvl="0" w:tplc="4B8A584C">
      <w:numFmt w:val="bullet"/>
      <w:lvlText w:val="-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F17"/>
    <w:multiLevelType w:val="hybridMultilevel"/>
    <w:tmpl w:val="7EC01866"/>
    <w:lvl w:ilvl="0" w:tplc="4BCAEFFE">
      <w:start w:val="1"/>
      <w:numFmt w:val="decimal"/>
      <w:pStyle w:val="berschrift3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D6191"/>
    <w:multiLevelType w:val="hybridMultilevel"/>
    <w:tmpl w:val="FBEADC72"/>
    <w:lvl w:ilvl="0" w:tplc="009840D0">
      <w:numFmt w:val="bullet"/>
      <w:lvlText w:val="–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06D70"/>
    <w:multiLevelType w:val="hybridMultilevel"/>
    <w:tmpl w:val="A1B07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5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1"/>
    <w:rsid w:val="0000124A"/>
    <w:rsid w:val="00016511"/>
    <w:rsid w:val="000250DC"/>
    <w:rsid w:val="000262A5"/>
    <w:rsid w:val="00026640"/>
    <w:rsid w:val="00027CAD"/>
    <w:rsid w:val="00053B3B"/>
    <w:rsid w:val="00054455"/>
    <w:rsid w:val="000641E2"/>
    <w:rsid w:val="00066D6B"/>
    <w:rsid w:val="00075DF0"/>
    <w:rsid w:val="00083956"/>
    <w:rsid w:val="00090CB4"/>
    <w:rsid w:val="000C2A9C"/>
    <w:rsid w:val="000C3FB2"/>
    <w:rsid w:val="000D499F"/>
    <w:rsid w:val="000E4021"/>
    <w:rsid w:val="0013166B"/>
    <w:rsid w:val="00136B45"/>
    <w:rsid w:val="001371ED"/>
    <w:rsid w:val="0014229E"/>
    <w:rsid w:val="00162F23"/>
    <w:rsid w:val="00167D00"/>
    <w:rsid w:val="001748F8"/>
    <w:rsid w:val="00193E93"/>
    <w:rsid w:val="00197FF5"/>
    <w:rsid w:val="001B2672"/>
    <w:rsid w:val="001C0664"/>
    <w:rsid w:val="001C1F76"/>
    <w:rsid w:val="001D5473"/>
    <w:rsid w:val="001D5BEB"/>
    <w:rsid w:val="001E136E"/>
    <w:rsid w:val="001E4E03"/>
    <w:rsid w:val="001F65D9"/>
    <w:rsid w:val="00207AE2"/>
    <w:rsid w:val="00210CBE"/>
    <w:rsid w:val="00222F25"/>
    <w:rsid w:val="00247059"/>
    <w:rsid w:val="00251304"/>
    <w:rsid w:val="002514E8"/>
    <w:rsid w:val="002616F8"/>
    <w:rsid w:val="002661AF"/>
    <w:rsid w:val="00266F00"/>
    <w:rsid w:val="00275FAA"/>
    <w:rsid w:val="00276D35"/>
    <w:rsid w:val="00294889"/>
    <w:rsid w:val="00294F7C"/>
    <w:rsid w:val="002A6666"/>
    <w:rsid w:val="002B2FD1"/>
    <w:rsid w:val="002C13B0"/>
    <w:rsid w:val="002C1CBC"/>
    <w:rsid w:val="002D1987"/>
    <w:rsid w:val="002D27D1"/>
    <w:rsid w:val="002D552B"/>
    <w:rsid w:val="002E2395"/>
    <w:rsid w:val="002F3968"/>
    <w:rsid w:val="00304F9F"/>
    <w:rsid w:val="00310F97"/>
    <w:rsid w:val="003115B8"/>
    <w:rsid w:val="00330F6E"/>
    <w:rsid w:val="003958FD"/>
    <w:rsid w:val="003A6885"/>
    <w:rsid w:val="003B0899"/>
    <w:rsid w:val="003B0E02"/>
    <w:rsid w:val="003B7F8E"/>
    <w:rsid w:val="003C1900"/>
    <w:rsid w:val="003C4529"/>
    <w:rsid w:val="003C50EA"/>
    <w:rsid w:val="003D7438"/>
    <w:rsid w:val="003D7D37"/>
    <w:rsid w:val="003F637A"/>
    <w:rsid w:val="003F64F4"/>
    <w:rsid w:val="003F7DDC"/>
    <w:rsid w:val="00401C35"/>
    <w:rsid w:val="00402BE8"/>
    <w:rsid w:val="004301BF"/>
    <w:rsid w:val="004377A9"/>
    <w:rsid w:val="004839AB"/>
    <w:rsid w:val="004924CC"/>
    <w:rsid w:val="004A55AE"/>
    <w:rsid w:val="004B589E"/>
    <w:rsid w:val="004D1DD9"/>
    <w:rsid w:val="004D5DB5"/>
    <w:rsid w:val="004E253A"/>
    <w:rsid w:val="005020FE"/>
    <w:rsid w:val="00523478"/>
    <w:rsid w:val="00531472"/>
    <w:rsid w:val="00533E0C"/>
    <w:rsid w:val="00541388"/>
    <w:rsid w:val="00543703"/>
    <w:rsid w:val="00550987"/>
    <w:rsid w:val="005814BC"/>
    <w:rsid w:val="00581A24"/>
    <w:rsid w:val="005A216F"/>
    <w:rsid w:val="005A51D9"/>
    <w:rsid w:val="005B148C"/>
    <w:rsid w:val="005B553C"/>
    <w:rsid w:val="005C0FEB"/>
    <w:rsid w:val="005D7EF6"/>
    <w:rsid w:val="005E663E"/>
    <w:rsid w:val="005E7F59"/>
    <w:rsid w:val="005F3E1A"/>
    <w:rsid w:val="005F3F5E"/>
    <w:rsid w:val="00600076"/>
    <w:rsid w:val="00603394"/>
    <w:rsid w:val="0061275C"/>
    <w:rsid w:val="00623ED7"/>
    <w:rsid w:val="00624235"/>
    <w:rsid w:val="00660440"/>
    <w:rsid w:val="00665F5A"/>
    <w:rsid w:val="0066698A"/>
    <w:rsid w:val="0067792A"/>
    <w:rsid w:val="00697F30"/>
    <w:rsid w:val="006A014C"/>
    <w:rsid w:val="006B2BCC"/>
    <w:rsid w:val="006C25D2"/>
    <w:rsid w:val="006D6E8C"/>
    <w:rsid w:val="006E371D"/>
    <w:rsid w:val="006E51A1"/>
    <w:rsid w:val="006E56B3"/>
    <w:rsid w:val="00722779"/>
    <w:rsid w:val="007412BA"/>
    <w:rsid w:val="0076058A"/>
    <w:rsid w:val="00767E29"/>
    <w:rsid w:val="007702E3"/>
    <w:rsid w:val="007867E4"/>
    <w:rsid w:val="007A21CB"/>
    <w:rsid w:val="007B7A17"/>
    <w:rsid w:val="007C78D0"/>
    <w:rsid w:val="007E0D62"/>
    <w:rsid w:val="007E47AB"/>
    <w:rsid w:val="007F18C4"/>
    <w:rsid w:val="007F7EB3"/>
    <w:rsid w:val="008150C1"/>
    <w:rsid w:val="008332DA"/>
    <w:rsid w:val="0084139B"/>
    <w:rsid w:val="00854564"/>
    <w:rsid w:val="00857F29"/>
    <w:rsid w:val="008908C5"/>
    <w:rsid w:val="00896AE2"/>
    <w:rsid w:val="008B3C26"/>
    <w:rsid w:val="008B4366"/>
    <w:rsid w:val="008C7E20"/>
    <w:rsid w:val="008D593D"/>
    <w:rsid w:val="008E797E"/>
    <w:rsid w:val="008F04FA"/>
    <w:rsid w:val="008F2593"/>
    <w:rsid w:val="008F3047"/>
    <w:rsid w:val="00905451"/>
    <w:rsid w:val="009079E1"/>
    <w:rsid w:val="00907D4C"/>
    <w:rsid w:val="00915E0F"/>
    <w:rsid w:val="00916A75"/>
    <w:rsid w:val="009242B2"/>
    <w:rsid w:val="00933083"/>
    <w:rsid w:val="00956B4B"/>
    <w:rsid w:val="00971ABB"/>
    <w:rsid w:val="00976101"/>
    <w:rsid w:val="009863C6"/>
    <w:rsid w:val="009969C0"/>
    <w:rsid w:val="009B6DE9"/>
    <w:rsid w:val="009D251B"/>
    <w:rsid w:val="009D68C3"/>
    <w:rsid w:val="009F6849"/>
    <w:rsid w:val="009F793D"/>
    <w:rsid w:val="00A00B62"/>
    <w:rsid w:val="00A105AF"/>
    <w:rsid w:val="00A2224F"/>
    <w:rsid w:val="00A25140"/>
    <w:rsid w:val="00A26611"/>
    <w:rsid w:val="00A37AC2"/>
    <w:rsid w:val="00A417F2"/>
    <w:rsid w:val="00A72234"/>
    <w:rsid w:val="00A775BF"/>
    <w:rsid w:val="00AA2BE0"/>
    <w:rsid w:val="00AA35FF"/>
    <w:rsid w:val="00AA362B"/>
    <w:rsid w:val="00AB083B"/>
    <w:rsid w:val="00AB5D38"/>
    <w:rsid w:val="00AC0F9E"/>
    <w:rsid w:val="00AD56D2"/>
    <w:rsid w:val="00AF4911"/>
    <w:rsid w:val="00B01CDC"/>
    <w:rsid w:val="00B15C52"/>
    <w:rsid w:val="00B326F8"/>
    <w:rsid w:val="00B410ED"/>
    <w:rsid w:val="00B460C7"/>
    <w:rsid w:val="00B545FE"/>
    <w:rsid w:val="00B83146"/>
    <w:rsid w:val="00B87608"/>
    <w:rsid w:val="00B87A19"/>
    <w:rsid w:val="00BA0FEA"/>
    <w:rsid w:val="00BA1F05"/>
    <w:rsid w:val="00BB1481"/>
    <w:rsid w:val="00BC0D7E"/>
    <w:rsid w:val="00BC196C"/>
    <w:rsid w:val="00BC4BA5"/>
    <w:rsid w:val="00BD3DFE"/>
    <w:rsid w:val="00BD6987"/>
    <w:rsid w:val="00BF635E"/>
    <w:rsid w:val="00C203AC"/>
    <w:rsid w:val="00C2537C"/>
    <w:rsid w:val="00C25505"/>
    <w:rsid w:val="00C316B3"/>
    <w:rsid w:val="00C318D5"/>
    <w:rsid w:val="00C40D77"/>
    <w:rsid w:val="00C501D2"/>
    <w:rsid w:val="00C7026F"/>
    <w:rsid w:val="00C856F4"/>
    <w:rsid w:val="00C9469F"/>
    <w:rsid w:val="00C965DF"/>
    <w:rsid w:val="00CA48B7"/>
    <w:rsid w:val="00CB2AF4"/>
    <w:rsid w:val="00CB434A"/>
    <w:rsid w:val="00CB5110"/>
    <w:rsid w:val="00CB7ADA"/>
    <w:rsid w:val="00CF64BC"/>
    <w:rsid w:val="00D0715A"/>
    <w:rsid w:val="00D173AB"/>
    <w:rsid w:val="00D2602B"/>
    <w:rsid w:val="00D46425"/>
    <w:rsid w:val="00D521BE"/>
    <w:rsid w:val="00D56C13"/>
    <w:rsid w:val="00D61A7F"/>
    <w:rsid w:val="00D669A4"/>
    <w:rsid w:val="00D70893"/>
    <w:rsid w:val="00D73C40"/>
    <w:rsid w:val="00D84687"/>
    <w:rsid w:val="00D93CF3"/>
    <w:rsid w:val="00DA0B28"/>
    <w:rsid w:val="00DA38A4"/>
    <w:rsid w:val="00DA4053"/>
    <w:rsid w:val="00DC243A"/>
    <w:rsid w:val="00DD4B71"/>
    <w:rsid w:val="00DE0C44"/>
    <w:rsid w:val="00DF5964"/>
    <w:rsid w:val="00E01D47"/>
    <w:rsid w:val="00E154AB"/>
    <w:rsid w:val="00E2217C"/>
    <w:rsid w:val="00E2398B"/>
    <w:rsid w:val="00E258E3"/>
    <w:rsid w:val="00E46166"/>
    <w:rsid w:val="00E52B64"/>
    <w:rsid w:val="00E626FF"/>
    <w:rsid w:val="00E62718"/>
    <w:rsid w:val="00E94FFC"/>
    <w:rsid w:val="00E95AE2"/>
    <w:rsid w:val="00E97188"/>
    <w:rsid w:val="00EB64D6"/>
    <w:rsid w:val="00EB674A"/>
    <w:rsid w:val="00EE01AE"/>
    <w:rsid w:val="00EE7566"/>
    <w:rsid w:val="00EF1E0E"/>
    <w:rsid w:val="00F00DB5"/>
    <w:rsid w:val="00F0406F"/>
    <w:rsid w:val="00F0783E"/>
    <w:rsid w:val="00F24095"/>
    <w:rsid w:val="00F253BC"/>
    <w:rsid w:val="00F27134"/>
    <w:rsid w:val="00F35B89"/>
    <w:rsid w:val="00F37A44"/>
    <w:rsid w:val="00F51BF0"/>
    <w:rsid w:val="00F537E1"/>
    <w:rsid w:val="00F54552"/>
    <w:rsid w:val="00F54FF2"/>
    <w:rsid w:val="00F62A14"/>
    <w:rsid w:val="00F66E88"/>
    <w:rsid w:val="00F7298E"/>
    <w:rsid w:val="00F731CA"/>
    <w:rsid w:val="00F76538"/>
    <w:rsid w:val="00F86362"/>
    <w:rsid w:val="00FA43F8"/>
    <w:rsid w:val="00FB3B8E"/>
    <w:rsid w:val="00FB70C2"/>
    <w:rsid w:val="00FC692A"/>
    <w:rsid w:val="00FD3FE4"/>
    <w:rsid w:val="00FF393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830FA"/>
  <w15:chartTrackingRefBased/>
  <w15:docId w15:val="{05E78B7F-2ECB-4A26-B347-6BA9DFA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B8E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D669A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669A4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079E1"/>
    <w:pPr>
      <w:keepNext/>
      <w:numPr>
        <w:numId w:val="12"/>
      </w:numPr>
      <w:spacing w:before="240" w:after="6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669A4"/>
    <w:pPr>
      <w:keepNext/>
      <w:spacing w:before="120" w:after="60"/>
      <w:outlineLvl w:val="3"/>
    </w:pPr>
    <w:rPr>
      <w:rFonts w:eastAsiaTheme="majorEastAsia" w:cstheme="majorBidi"/>
      <w:bCs/>
      <w:sz w:val="24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69A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669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079E1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link w:val="berschrift4"/>
    <w:rsid w:val="00D669A4"/>
    <w:rPr>
      <w:rFonts w:ascii="Times New Roman" w:eastAsiaTheme="majorEastAsia" w:hAnsi="Times New Roman" w:cstheme="majorBidi"/>
      <w:bCs/>
      <w:sz w:val="24"/>
      <w:szCs w:val="28"/>
      <w:u w:val="single"/>
    </w:rPr>
  </w:style>
  <w:style w:type="table" w:styleId="Tabellenraster">
    <w:name w:val="Table Grid"/>
    <w:basedOn w:val="NormaleTabelle"/>
    <w:uiPriority w:val="39"/>
    <w:rsid w:val="004E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5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2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53A"/>
  </w:style>
  <w:style w:type="paragraph" w:styleId="Fuzeile">
    <w:name w:val="footer"/>
    <w:basedOn w:val="Standard"/>
    <w:link w:val="FuzeileZchn"/>
    <w:uiPriority w:val="99"/>
    <w:unhideWhenUsed/>
    <w:rsid w:val="004E2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53A"/>
  </w:style>
  <w:style w:type="character" w:styleId="Hyperlink">
    <w:name w:val="Hyperlink"/>
    <w:basedOn w:val="Absatz-Standardschriftart"/>
    <w:uiPriority w:val="99"/>
    <w:unhideWhenUsed/>
    <w:rsid w:val="004839AB"/>
    <w:rPr>
      <w:color w:val="0563C1" w:themeColor="hyperlink"/>
      <w:u w:val="single"/>
    </w:rPr>
  </w:style>
  <w:style w:type="character" w:customStyle="1" w:styleId="fontstyle01">
    <w:name w:val="fontstyle01"/>
    <w:basedOn w:val="Absatz-Standardschriftart"/>
    <w:rsid w:val="00531472"/>
    <w:rPr>
      <w:rFonts w:ascii="TheSans-LP4SeLig" w:hAnsi="TheSans-LP4SeLig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Grundschrift">
    <w:name w:val="*Grundschrift"/>
    <w:link w:val="GrundschriftZchn"/>
    <w:rsid w:val="0000124A"/>
    <w:pPr>
      <w:tabs>
        <w:tab w:val="left" w:pos="199"/>
      </w:tabs>
      <w:spacing w:after="0" w:line="230" w:lineRule="exact"/>
      <w:jc w:val="both"/>
    </w:pPr>
    <w:rPr>
      <w:rFonts w:ascii="Times New Roman" w:eastAsia="Times New Roman" w:hAnsi="Times New Roman" w:cs="Tahoma"/>
      <w:color w:val="000000"/>
      <w:sz w:val="19"/>
      <w:szCs w:val="18"/>
      <w:lang w:eastAsia="de-DE"/>
    </w:rPr>
  </w:style>
  <w:style w:type="paragraph" w:customStyle="1" w:styleId="Bildmaterial">
    <w:name w:val="*Bildmaterial"/>
    <w:basedOn w:val="Standard"/>
    <w:rsid w:val="0000124A"/>
    <w:pPr>
      <w:spacing w:line="280" w:lineRule="atLeast"/>
      <w:jc w:val="center"/>
    </w:pPr>
    <w:rPr>
      <w:rFonts w:eastAsia="Batang" w:cs="Times New Roman"/>
      <w:sz w:val="24"/>
      <w:szCs w:val="24"/>
      <w:lang w:eastAsia="de-DE"/>
    </w:rPr>
  </w:style>
  <w:style w:type="paragraph" w:customStyle="1" w:styleId="Leerzeile12">
    <w:name w:val="*Leerzeile 1/2"/>
    <w:basedOn w:val="Grundschrift"/>
    <w:link w:val="Leerzeile12Zchn"/>
    <w:rsid w:val="0000124A"/>
    <w:pPr>
      <w:spacing w:line="120" w:lineRule="exact"/>
    </w:pPr>
  </w:style>
  <w:style w:type="character" w:customStyle="1" w:styleId="GrundschriftZchn">
    <w:name w:val="*Grundschrift Zchn"/>
    <w:link w:val="Grundschrift"/>
    <w:rsid w:val="0000124A"/>
    <w:rPr>
      <w:rFonts w:ascii="Times New Roman" w:eastAsia="Times New Roman" w:hAnsi="Times New Roman" w:cs="Tahoma"/>
      <w:color w:val="000000"/>
      <w:sz w:val="19"/>
      <w:szCs w:val="18"/>
      <w:lang w:eastAsia="de-DE"/>
    </w:rPr>
  </w:style>
  <w:style w:type="character" w:customStyle="1" w:styleId="Leerzeile12Zchn">
    <w:name w:val="*Leerzeile 1/2 Zchn"/>
    <w:basedOn w:val="GrundschriftZchn"/>
    <w:link w:val="Leerzeile12"/>
    <w:rsid w:val="0000124A"/>
    <w:rPr>
      <w:rFonts w:ascii="Times New Roman" w:eastAsia="Times New Roman" w:hAnsi="Times New Roman" w:cs="Tahoma"/>
      <w:color w:val="000000"/>
      <w:sz w:val="19"/>
      <w:szCs w:val="18"/>
      <w:lang w:eastAsia="de-DE"/>
    </w:rPr>
  </w:style>
  <w:style w:type="paragraph" w:customStyle="1" w:styleId="Aufgabe">
    <w:name w:val="*Aufgabe"/>
    <w:basedOn w:val="Standard"/>
    <w:link w:val="AufgabeZchnZchn"/>
    <w:rsid w:val="007F18C4"/>
    <w:pPr>
      <w:spacing w:line="230" w:lineRule="exact"/>
    </w:pPr>
    <w:rPr>
      <w:rFonts w:eastAsia="Times New Roman" w:cs="Tahoma"/>
      <w:b/>
      <w:color w:val="000000"/>
      <w:sz w:val="19"/>
      <w:szCs w:val="18"/>
      <w:lang w:eastAsia="de-DE"/>
    </w:rPr>
  </w:style>
  <w:style w:type="character" w:customStyle="1" w:styleId="AufgabeZchnZchn">
    <w:name w:val="*Aufgabe Zchn Zchn"/>
    <w:link w:val="Aufgabe"/>
    <w:rsid w:val="007F18C4"/>
    <w:rPr>
      <w:rFonts w:ascii="Times New Roman" w:eastAsia="Times New Roman" w:hAnsi="Times New Roman" w:cs="Tahoma"/>
      <w:b/>
      <w:color w:val="000000"/>
      <w:sz w:val="19"/>
      <w:szCs w:val="18"/>
      <w:lang w:eastAsia="de-DE"/>
    </w:rPr>
  </w:style>
  <w:style w:type="paragraph" w:customStyle="1" w:styleId="GShngEinzug">
    <w:name w:val="*GS häng Einzug"/>
    <w:basedOn w:val="Grundschrift"/>
    <w:link w:val="GShngEinzugZchn"/>
    <w:rsid w:val="00916A75"/>
    <w:pPr>
      <w:ind w:left="199" w:hanging="199"/>
    </w:pPr>
  </w:style>
  <w:style w:type="character" w:customStyle="1" w:styleId="GShngEinzugZchn">
    <w:name w:val="*GS häng Einzug Zchn"/>
    <w:basedOn w:val="GrundschriftZchn"/>
    <w:link w:val="GShngEinzug"/>
    <w:rsid w:val="00916A75"/>
    <w:rPr>
      <w:rFonts w:ascii="Times New Roman" w:eastAsia="Times New Roman" w:hAnsi="Times New Roman" w:cs="Tahoma"/>
      <w:color w:val="000000"/>
      <w:sz w:val="19"/>
      <w:szCs w:val="18"/>
      <w:lang w:eastAsia="de-DE"/>
    </w:rPr>
  </w:style>
  <w:style w:type="paragraph" w:customStyle="1" w:styleId="AufzhlungFeedback">
    <w:name w:val="Aufzählung_Feedback"/>
    <w:basedOn w:val="Standard"/>
    <w:qFormat/>
    <w:rsid w:val="00916A75"/>
    <w:pPr>
      <w:numPr>
        <w:numId w:val="7"/>
      </w:numPr>
      <w:autoSpaceDE w:val="0"/>
    </w:pPr>
    <w:rPr>
      <w:rFonts w:eastAsia="Wingdings" w:cs="Wingdings"/>
      <w:szCs w:val="26"/>
      <w:lang w:eastAsia="de-DE"/>
    </w:rPr>
  </w:style>
  <w:style w:type="paragraph" w:customStyle="1" w:styleId="Tabellentext">
    <w:name w:val="*Tabellentext"/>
    <w:basedOn w:val="Standard"/>
    <w:rsid w:val="004D5DB5"/>
    <w:pPr>
      <w:tabs>
        <w:tab w:val="left" w:pos="199"/>
      </w:tabs>
      <w:suppressAutoHyphens/>
      <w:spacing w:before="20" w:after="40" w:line="200" w:lineRule="exact"/>
      <w:ind w:left="57" w:right="57"/>
    </w:pPr>
    <w:rPr>
      <w:rFonts w:eastAsia="Times New Roman" w:cs="Tahoma"/>
      <w:color w:val="000000"/>
      <w:sz w:val="16"/>
      <w:szCs w:val="18"/>
      <w:lang w:eastAsia="de-DE"/>
    </w:rPr>
  </w:style>
  <w:style w:type="character" w:customStyle="1" w:styleId="fett">
    <w:name w:val="*fett"/>
    <w:rsid w:val="004D5DB5"/>
    <w:rPr>
      <w:b/>
    </w:rPr>
  </w:style>
  <w:style w:type="character" w:styleId="Hervorhebung">
    <w:name w:val="Emphasis"/>
    <w:basedOn w:val="Absatz-Standardschriftart"/>
    <w:uiPriority w:val="20"/>
    <w:qFormat/>
    <w:rsid w:val="00D2602B"/>
    <w:rPr>
      <w:i/>
      <w:iCs/>
    </w:rPr>
  </w:style>
  <w:style w:type="character" w:customStyle="1" w:styleId="fontstyle21">
    <w:name w:val="fontstyle21"/>
    <w:basedOn w:val="Absatz-Standardschriftart"/>
    <w:rsid w:val="00D2602B"/>
    <w:rPr>
      <w:rFonts w:ascii="TheSerif-W4SemiLight" w:hAnsi="TheSerif-W4SemiLigh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bodytext">
    <w:name w:val="bodytext"/>
    <w:basedOn w:val="Standard"/>
    <w:rsid w:val="005D7E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16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547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E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E0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E02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E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amilia.de/themen/verhuetung/pearl-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BE32-27B1-4D65-A1DE-90118B52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3712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2021-06-29T18:07:00Z</cp:lastPrinted>
  <dcterms:created xsi:type="dcterms:W3CDTF">2021-08-26T07:00:00Z</dcterms:created>
  <dcterms:modified xsi:type="dcterms:W3CDTF">2021-12-22T09:59:00Z</dcterms:modified>
</cp:coreProperties>
</file>