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298"/>
      </w:tblGrid>
      <w:tr w:rsidR="00A86266" w:rsidRPr="00236508" w:rsidTr="00DA054C">
        <w:trPr>
          <w:trHeight w:val="32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52DB" w:rsidRDefault="00D052DB" w:rsidP="00DA054C">
            <w:pPr>
              <w:pageBreakBefore/>
              <w:widowControl w:val="0"/>
              <w:suppressAutoHyphens/>
              <w:spacing w:after="0" w:line="100" w:lineRule="atLeast"/>
              <w:jc w:val="center"/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>Konkretisiertes Unterrichtsvorhaben Latein</w:t>
            </w:r>
            <w:r w:rsidR="006A63EB"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ab </w:t>
            </w:r>
            <w:r w:rsidR="00E42A3D"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9 </w:t>
            </w:r>
            <w:r w:rsidR="00A86266" w:rsidRPr="00236508"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Jg. </w:t>
            </w:r>
          </w:p>
          <w:p w:rsidR="00A86266" w:rsidRDefault="00D052DB" w:rsidP="00DA054C">
            <w:pPr>
              <w:pageBreakBefore/>
              <w:widowControl w:val="0"/>
              <w:suppressAutoHyphens/>
              <w:spacing w:after="0" w:line="100" w:lineRule="atLeast"/>
              <w:jc w:val="center"/>
              <w:rPr>
                <w:rFonts w:eastAsia="SimSun" w:cs="Ari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Jg. </w:t>
            </w:r>
            <w:r w:rsidR="00A86266" w:rsidRPr="00236508">
              <w:rPr>
                <w:rFonts w:eastAsia="SimSun" w:cs="Arial"/>
                <w:b/>
                <w:bCs/>
                <w:kern w:val="1"/>
                <w:sz w:val="24"/>
                <w:szCs w:val="24"/>
                <w:lang w:eastAsia="hi-IN" w:bidi="hi-IN"/>
              </w:rPr>
              <w:t>10 UV V:</w:t>
            </w:r>
            <w:r w:rsidR="00A86266" w:rsidRPr="00236508">
              <w:rPr>
                <w:rFonts w:eastAsia="SimSun" w:cs="Ari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86266" w:rsidRPr="00C74358">
              <w:rPr>
                <w:rFonts w:eastAsia="SimSun" w:cs="Arial"/>
                <w:b/>
                <w:i/>
                <w:kern w:val="1"/>
                <w:sz w:val="24"/>
                <w:szCs w:val="24"/>
                <w:lang w:eastAsia="hi-IN" w:bidi="hi-IN"/>
              </w:rPr>
              <w:t>Otium</w:t>
            </w:r>
            <w:r w:rsidR="00A86266" w:rsidRPr="00236508">
              <w:rPr>
                <w:rFonts w:eastAsia="SimSun" w:cs="Arial"/>
                <w:b/>
                <w:kern w:val="1"/>
                <w:sz w:val="24"/>
                <w:szCs w:val="24"/>
                <w:lang w:eastAsia="hi-IN" w:bidi="hi-IN"/>
              </w:rPr>
              <w:t xml:space="preserve"> und </w:t>
            </w:r>
            <w:proofErr w:type="spellStart"/>
            <w:r w:rsidR="00A86266" w:rsidRPr="00C74358">
              <w:rPr>
                <w:rFonts w:eastAsia="SimSun" w:cs="Arial"/>
                <w:b/>
                <w:i/>
                <w:kern w:val="1"/>
                <w:sz w:val="24"/>
                <w:szCs w:val="24"/>
                <w:lang w:eastAsia="hi-IN" w:bidi="hi-IN"/>
              </w:rPr>
              <w:t>Negotium</w:t>
            </w:r>
            <w:proofErr w:type="spellEnd"/>
            <w:r w:rsidR="00A86266" w:rsidRPr="00236508">
              <w:rPr>
                <w:rFonts w:eastAsia="SimSun" w:cs="Arial"/>
                <w:b/>
                <w:kern w:val="1"/>
                <w:sz w:val="24"/>
                <w:szCs w:val="24"/>
                <w:lang w:eastAsia="hi-IN" w:bidi="hi-IN"/>
              </w:rPr>
              <w:t xml:space="preserve"> – Leben für die freie Zeit: Plinius d. J., Briefe</w:t>
            </w:r>
          </w:p>
          <w:p w:rsidR="00AB74F4" w:rsidRPr="00EC69E6" w:rsidRDefault="00AB74F4" w:rsidP="00AB74F4">
            <w:pPr>
              <w:shd w:val="clear" w:color="auto" w:fill="D9D9D9" w:themeFill="background1" w:themeFillShade="D9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69E6">
              <w:rPr>
                <w:rFonts w:eastAsia="Times New Roman" w:cs="Arial"/>
                <w:sz w:val="20"/>
                <w:szCs w:val="20"/>
                <w:lang w:eastAsia="de-DE"/>
              </w:rPr>
              <w:t xml:space="preserve">In diesem Unterrichtsvorhaben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stehen die lateinischen nebensatzwertigen Konstruktionen im Zentrum der grammatischen Analyse. Die Infinitiv- und die Partizipialkonstruktionen</w:t>
            </w:r>
            <w:r w:rsidRPr="00EC69E6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>werden im Textzusammenhang untersucht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 beschrieben und zielsprachengerecht üb</w:t>
            </w:r>
            <w:r w:rsidR="006A63EB">
              <w:rPr>
                <w:rFonts w:eastAsia="Times New Roman" w:cs="Arial"/>
                <w:sz w:val="20"/>
                <w:szCs w:val="20"/>
                <w:lang w:eastAsia="de-DE"/>
              </w:rPr>
              <w:t>ersetzt. Darüber hinaus werden w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eitere Nominalformen des Verbs (</w:t>
            </w:r>
            <w:r w:rsidRPr="00C74358">
              <w:rPr>
                <w:rFonts w:eastAsia="Times New Roman" w:cs="Arial"/>
                <w:i/>
                <w:sz w:val="20"/>
                <w:szCs w:val="20"/>
                <w:lang w:eastAsia="de-DE"/>
              </w:rPr>
              <w:t>Gerundium, Gerundivum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) thematisiert und eingeübt. Das Gerundivum mit Infinitiv verbindet diesen Unterrichtsinhalt mit den o. g. Konstruktionen. Die Nutzung eines zweisprachigen Wörterbuchs wird intensiviert.</w:t>
            </w:r>
            <w:r w:rsidRPr="00EC69E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Eine </w:t>
            </w:r>
            <w:r w:rsidRPr="00EC69E6">
              <w:rPr>
                <w:rFonts w:cs="Arial"/>
                <w:sz w:val="20"/>
                <w:szCs w:val="20"/>
              </w:rPr>
              <w:t xml:space="preserve">Rekapitulation bisher eingeführter Grammatik </w:t>
            </w:r>
            <w:r>
              <w:rPr>
                <w:rFonts w:cs="Arial"/>
                <w:sz w:val="20"/>
                <w:szCs w:val="20"/>
              </w:rPr>
              <w:t xml:space="preserve">ist </w:t>
            </w:r>
            <w:r w:rsidR="00841984">
              <w:rPr>
                <w:rFonts w:cs="Arial"/>
                <w:sz w:val="20"/>
                <w:szCs w:val="20"/>
              </w:rPr>
              <w:t>textbezogen durchzuführen</w:t>
            </w:r>
            <w:r w:rsidRPr="00EC69E6">
              <w:rPr>
                <w:rFonts w:cs="Arial"/>
                <w:sz w:val="20"/>
                <w:szCs w:val="20"/>
              </w:rPr>
              <w:t>.</w:t>
            </w:r>
          </w:p>
          <w:p w:rsidR="00AB74F4" w:rsidRPr="00EC69E6" w:rsidRDefault="00AB74F4" w:rsidP="00244714">
            <w:pPr>
              <w:shd w:val="clear" w:color="auto" w:fill="D9D9D9" w:themeFill="background1" w:themeFillShade="D9"/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C69E6">
              <w:rPr>
                <w:rFonts w:eastAsia="Times New Roman" w:cs="Arial"/>
                <w:sz w:val="20"/>
                <w:szCs w:val="20"/>
                <w:lang w:eastAsia="de-DE"/>
              </w:rPr>
              <w:t xml:space="preserve">Die Textarbeit 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>führt von adaptierten Texten nach Plinius hin zu</w:t>
            </w:r>
            <w:r w:rsidR="006A63EB">
              <w:rPr>
                <w:rFonts w:eastAsia="Times New Roman" w:cs="Arial"/>
                <w:sz w:val="20"/>
                <w:szCs w:val="20"/>
                <w:lang w:eastAsia="de-DE"/>
              </w:rPr>
              <w:t>m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 Original und soll die Schülerinnen und Schüler in die Lage versetzen, </w:t>
            </w:r>
            <w:r w:rsidRPr="00EC69E6">
              <w:rPr>
                <w:rFonts w:eastAsia="Times New Roman" w:cs="Arial"/>
                <w:sz w:val="20"/>
                <w:szCs w:val="20"/>
                <w:lang w:eastAsia="de-DE"/>
              </w:rPr>
              <w:t xml:space="preserve">in 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der Klassenarbeit einen nach Möglichkeit original </w:t>
            </w:r>
            <w:proofErr w:type="spellStart"/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>plinianischen</w:t>
            </w:r>
            <w:proofErr w:type="spellEnd"/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 Text zu bearbeiten. Im Zentrum der </w:t>
            </w:r>
            <w:r w:rsidRPr="00EC69E6">
              <w:rPr>
                <w:rFonts w:eastAsia="Times New Roman" w:cs="Arial"/>
                <w:sz w:val="20"/>
                <w:szCs w:val="20"/>
                <w:lang w:eastAsia="de-DE"/>
              </w:rPr>
              <w:t>inhaltlichen Arbeit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 stehen das </w:t>
            </w:r>
            <w:proofErr w:type="spellStart"/>
            <w:r w:rsidR="00841984" w:rsidRPr="006A63EB">
              <w:rPr>
                <w:rFonts w:eastAsia="Times New Roman" w:cs="Arial"/>
                <w:i/>
                <w:sz w:val="20"/>
                <w:szCs w:val="20"/>
                <w:lang w:eastAsia="de-DE"/>
              </w:rPr>
              <w:t>negotium</w:t>
            </w:r>
            <w:proofErr w:type="spellEnd"/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das entgegensetzte </w:t>
            </w:r>
            <w:proofErr w:type="spellStart"/>
            <w:r w:rsidR="00841984" w:rsidRPr="006A63EB">
              <w:rPr>
                <w:rFonts w:eastAsia="Times New Roman" w:cs="Arial"/>
                <w:i/>
                <w:sz w:val="20"/>
                <w:szCs w:val="20"/>
                <w:lang w:eastAsia="de-DE"/>
              </w:rPr>
              <w:t>otium</w:t>
            </w:r>
            <w:proofErr w:type="spellEnd"/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. Neben der Begriffsdefinition wird besonders das notwendige Lebensumfeld für den Genuss des </w:t>
            </w:r>
            <w:proofErr w:type="spellStart"/>
            <w:r w:rsidR="00841984" w:rsidRPr="006A63EB">
              <w:rPr>
                <w:rFonts w:eastAsia="Times New Roman" w:cs="Arial"/>
                <w:i/>
                <w:sz w:val="20"/>
                <w:szCs w:val="20"/>
                <w:lang w:eastAsia="de-DE"/>
              </w:rPr>
              <w:t>otium</w:t>
            </w:r>
            <w:proofErr w:type="spellEnd"/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 thematisiert (insbesondere die Freizeitgestaltung, das Landhaus, der </w:t>
            </w:r>
            <w:proofErr w:type="spellStart"/>
            <w:r w:rsidR="00841984" w:rsidRPr="00841984">
              <w:rPr>
                <w:rFonts w:eastAsia="Times New Roman" w:cs="Arial"/>
                <w:i/>
                <w:sz w:val="20"/>
                <w:szCs w:val="20"/>
                <w:lang w:eastAsia="de-DE"/>
              </w:rPr>
              <w:t>locus</w:t>
            </w:r>
            <w:proofErr w:type="spellEnd"/>
            <w:r w:rsidR="00841984" w:rsidRPr="00841984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amoenus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Pr="00EC69E6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Die Unterrichtsreihe kann mit dem Besuch einer </w:t>
            </w:r>
            <w:proofErr w:type="spellStart"/>
            <w:r w:rsidR="00841984" w:rsidRPr="00841984">
              <w:rPr>
                <w:rFonts w:eastAsia="Times New Roman" w:cs="Arial"/>
                <w:i/>
                <w:sz w:val="20"/>
                <w:szCs w:val="20"/>
                <w:lang w:eastAsia="de-DE"/>
              </w:rPr>
              <w:t>villa</w:t>
            </w:r>
            <w:proofErr w:type="spellEnd"/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der Erforschung von entsprechendem </w:t>
            </w:r>
            <w:r w:rsidR="00244714">
              <w:rPr>
                <w:rFonts w:eastAsia="Times New Roman" w:cs="Arial"/>
                <w:sz w:val="20"/>
                <w:szCs w:val="20"/>
                <w:lang w:eastAsia="de-DE"/>
              </w:rPr>
              <w:t>Text- und Bildm</w:t>
            </w:r>
            <w:r w:rsidR="00841984">
              <w:rPr>
                <w:rFonts w:eastAsia="Times New Roman" w:cs="Arial"/>
                <w:sz w:val="20"/>
                <w:szCs w:val="20"/>
                <w:lang w:eastAsia="de-DE"/>
              </w:rPr>
              <w:t>aterial abschließen</w:t>
            </w:r>
            <w:r w:rsidR="00A80615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:rsidR="00E42A3D" w:rsidRPr="00E42A3D" w:rsidRDefault="00E42A3D" w:rsidP="005072BF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  <w:t>Stundenkontingent</w:t>
            </w:r>
            <w:r w:rsidR="00D052DB"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  <w:t>:</w:t>
            </w:r>
            <w:r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="00A86266" w:rsidRPr="00236508"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  <w:t xml:space="preserve">ca. 20 </w:t>
            </w:r>
            <w:r w:rsidR="00443EF2">
              <w:rPr>
                <w:rFonts w:eastAsia="SimSun" w:cs="Arial"/>
                <w:kern w:val="1"/>
                <w:sz w:val="20"/>
                <w:szCs w:val="24"/>
                <w:lang w:eastAsia="hi-IN" w:bidi="hi-IN"/>
              </w:rPr>
              <w:t>U-Std.</w:t>
            </w:r>
            <w:bookmarkStart w:id="0" w:name="_GoBack"/>
            <w:bookmarkEnd w:id="0"/>
          </w:p>
        </w:tc>
      </w:tr>
      <w:tr w:rsidR="00A86266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266" w:rsidRPr="00236508" w:rsidRDefault="00E42A3D" w:rsidP="00DA054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Übergeordnete</w:t>
            </w:r>
            <w:r w:rsidR="00A86266" w:rsidRPr="0023650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 xml:space="preserve"> Kompetenze</w:t>
            </w:r>
            <w:r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rwartungen</w:t>
            </w:r>
          </w:p>
        </w:tc>
      </w:tr>
      <w:tr w:rsidR="00A86266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3D" w:rsidRDefault="00E42A3D" w:rsidP="00E42A3D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Te</w:t>
            </w:r>
            <w:r w:rsidR="00064F03" w:rsidRPr="00C7435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x</w:t>
            </w:r>
            <w:r w:rsidRPr="00C7435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tkompetenz</w:t>
            </w: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A86266" w:rsidRPr="00236508" w:rsidRDefault="00A86266" w:rsidP="00A862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adaptierte und leichtere Originaltexte </w:t>
            </w:r>
            <w:proofErr w:type="spellStart"/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aspektbezogen</w:t>
            </w:r>
            <w:proofErr w:type="spellEnd"/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interpretieren </w:t>
            </w:r>
          </w:p>
          <w:p w:rsidR="00E42A3D" w:rsidRDefault="00E42A3D" w:rsidP="00E42A3D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Sprachkompetenz</w:t>
            </w: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A86266" w:rsidRPr="00236508" w:rsidRDefault="00A86266" w:rsidP="00A862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einen dem Lernstand entsprechenden Grundwortschatz bei der Erschließung adaptierter und leichterer Originaltexte funktional einsetzen </w:t>
            </w:r>
          </w:p>
          <w:p w:rsidR="00D052DB" w:rsidRPr="005072BF" w:rsidRDefault="00D052DB" w:rsidP="00C74358">
            <w:pPr>
              <w:keepLines/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Kulturkompetenz</w:t>
            </w:r>
            <w:r w:rsidRPr="005072B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: </w:t>
            </w:r>
          </w:p>
          <w:p w:rsidR="00D052DB" w:rsidRPr="00236508" w:rsidRDefault="005072BF" w:rsidP="00C7435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072B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historisch-kulturelles Orientierungswissen auch unter Verwendung digitaler Medien ausgehend vom Text themenbezogen recherchieren, adressatengerecht strukturieren und entsprechend den Standards für Quellenangaben präsentieren</w:t>
            </w:r>
          </w:p>
        </w:tc>
      </w:tr>
      <w:tr w:rsidR="00E42A3D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3D" w:rsidRPr="00236508" w:rsidRDefault="00AB74F4" w:rsidP="00AB74F4">
            <w:pPr>
              <w:widowControl w:val="0"/>
              <w:suppressAutoHyphens/>
              <w:spacing w:after="0" w:line="240" w:lineRule="auto"/>
              <w:ind w:left="284" w:hanging="284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AB74F4">
              <w:rPr>
                <w:rFonts w:eastAsia="SimSun" w:cs="Arial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Konkretisierte Kompetenzerwartungen</w:t>
            </w:r>
          </w:p>
        </w:tc>
      </w:tr>
      <w:tr w:rsidR="00E42A3D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4F4" w:rsidRDefault="00AB74F4" w:rsidP="00AB74F4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Grundzüge des privaten und öffentlichen Lebens erläutern und im Vergleich mit heutigen Lebensweisen und Lebensbedingungen beurteilen</w:t>
            </w:r>
          </w:p>
          <w:p w:rsidR="006A63EB" w:rsidRPr="00236508" w:rsidRDefault="006A63EB" w:rsidP="006A63EB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zentrale Autoren und Werke der lateinischen Literatur im historischen Kontext darstellen</w:t>
            </w:r>
          </w:p>
          <w:p w:rsidR="00E42A3D" w:rsidRPr="00C74358" w:rsidRDefault="00D052DB" w:rsidP="00C74358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Texte unter Berücksichtigung der Textsorte und Textstruktur erschließen</w:t>
            </w:r>
          </w:p>
        </w:tc>
      </w:tr>
      <w:tr w:rsidR="00E42A3D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3D" w:rsidRPr="00236508" w:rsidRDefault="00E42A3D" w:rsidP="00AB74F4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236508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Inhalt</w:t>
            </w:r>
            <w:r w:rsidR="00AB74F4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sfelder</w:t>
            </w:r>
          </w:p>
        </w:tc>
      </w:tr>
      <w:tr w:rsidR="00E42A3D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3D" w:rsidRPr="00236508" w:rsidRDefault="00E42A3D" w:rsidP="00C74358">
            <w:pPr>
              <w:widowControl w:val="0"/>
              <w:suppressAutoHyphens/>
              <w:spacing w:after="0" w:line="240" w:lineRule="auto"/>
              <w:ind w:left="284" w:hanging="284"/>
              <w:jc w:val="left"/>
              <w:rPr>
                <w:rFonts w:eastAsia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Antike Welt:</w:t>
            </w:r>
            <w:r w:rsidRPr="00236508">
              <w:rPr>
                <w:rFonts w:eastAsia="SimSun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br/>
            </w: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Literatur: zentrale Autoren und Werke der klassischen Zeit</w:t>
            </w: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br/>
              <w:t>Perspektiven: menschliche Beziehungen</w:t>
            </w:r>
          </w:p>
          <w:p w:rsidR="004D5F20" w:rsidRPr="00236508" w:rsidRDefault="00E42A3D" w:rsidP="00C74358">
            <w:pPr>
              <w:widowControl w:val="0"/>
              <w:suppressAutoHyphens/>
              <w:spacing w:after="0" w:line="240" w:lineRule="auto"/>
              <w:ind w:left="284" w:right="85" w:hanging="284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Textgestaltung:</w:t>
            </w: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br/>
              <w:t>Textsorte: Brief</w:t>
            </w:r>
          </w:p>
          <w:p w:rsidR="00E42A3D" w:rsidRPr="00236508" w:rsidRDefault="00E42A3D" w:rsidP="00C74358">
            <w:pPr>
              <w:widowControl w:val="0"/>
              <w:suppressAutoHyphens/>
              <w:spacing w:after="0" w:line="240" w:lineRule="auto"/>
              <w:ind w:left="567" w:hanging="284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Textstruktur: </w:t>
            </w:r>
            <w:r w:rsidRPr="00236508">
              <w:rPr>
                <w:rFonts w:eastAsia="Times New Roman" w:cs="Arial"/>
                <w:bCs/>
                <w:kern w:val="1"/>
                <w:sz w:val="20"/>
                <w:szCs w:val="20"/>
                <w:lang w:eastAsia="hi-IN" w:bidi="hi-IN"/>
              </w:rPr>
              <w:t>Erzählperspektive, Leserlenkung</w:t>
            </w:r>
          </w:p>
          <w:p w:rsidR="00E42A3D" w:rsidRPr="00236508" w:rsidRDefault="00E42A3D" w:rsidP="00C74358">
            <w:pPr>
              <w:widowControl w:val="0"/>
              <w:suppressAutoHyphens/>
              <w:spacing w:after="0" w:line="240" w:lineRule="auto"/>
              <w:ind w:left="284" w:hanging="284"/>
              <w:jc w:val="left"/>
              <w:rPr>
                <w:rFonts w:eastAsia="SimSun" w:cs="Arial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36508">
              <w:rPr>
                <w:rFonts w:eastAsia="Times New Roman" w:cs="Arial"/>
                <w:b/>
                <w:bCs/>
                <w:kern w:val="1"/>
                <w:sz w:val="20"/>
                <w:szCs w:val="20"/>
                <w:lang w:eastAsia="hi-IN" w:bidi="hi-IN"/>
              </w:rPr>
              <w:t>Sprachsystem</w:t>
            </w:r>
            <w:r w:rsidRPr="00236508">
              <w:rPr>
                <w:rFonts w:eastAsia="SimSun" w:cs="Arial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:</w:t>
            </w:r>
            <w:r w:rsidRPr="00236508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br/>
            </w:r>
            <w:r w:rsidRPr="00236508">
              <w:rPr>
                <w:rFonts w:eastAsia="SimSun" w:cs="Arial"/>
                <w:kern w:val="1"/>
                <w:sz w:val="20"/>
                <w:szCs w:val="20"/>
                <w:lang w:eastAsia="zh-CN" w:bidi="hi-IN"/>
              </w:rPr>
              <w:t>textbezogene Phänomene aus den Bereichen Wortschatz, Morphologie und Syntax</w:t>
            </w:r>
          </w:p>
        </w:tc>
      </w:tr>
      <w:tr w:rsidR="00E42A3D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3D" w:rsidRPr="00236508" w:rsidRDefault="00E42A3D" w:rsidP="00DA054C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236508">
              <w:rPr>
                <w:rFonts w:eastAsia="SimSun" w:cs="Arial"/>
                <w:b/>
                <w:bCs/>
                <w:kern w:val="1"/>
                <w:sz w:val="20"/>
                <w:szCs w:val="20"/>
                <w:lang w:eastAsia="hi-IN" w:bidi="hi-IN"/>
              </w:rPr>
              <w:t>Hinweise, Vereinbarungen und Absprachen</w:t>
            </w:r>
          </w:p>
        </w:tc>
      </w:tr>
      <w:tr w:rsidR="00E42A3D" w:rsidRPr="00236508" w:rsidTr="00DA054C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 xml:space="preserve">Textauswahl: 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Adaptiert</w:t>
            </w:r>
            <w:r w:rsidRPr="00AB74F4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e Beispieltexte liegen vor (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Plin</w:t>
            </w:r>
            <w:proofErr w:type="spellEnd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Ep</w:t>
            </w:r>
            <w:proofErr w:type="spellEnd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I 15; I 4/5/19; III 14; VI 20; VII 27; IX 36; X 96</w:t>
            </w:r>
            <w:r w:rsidRPr="00AB74F4">
              <w:rPr>
                <w:rFonts w:eastAsia="Calibri" w:cs="Arial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); </w:t>
            </w:r>
            <w:proofErr w:type="spellStart"/>
            <w:r w:rsidRPr="00AB74F4">
              <w:rPr>
                <w:rFonts w:eastAsia="Calibri" w:cs="Arial"/>
                <w:color w:val="000000"/>
                <w:kern w:val="1"/>
                <w:sz w:val="20"/>
                <w:szCs w:val="20"/>
                <w:lang w:val="en-US" w:eastAsia="hi-IN" w:bidi="hi-IN"/>
              </w:rPr>
              <w:t>Originalbriefe</w:t>
            </w:r>
            <w:proofErr w:type="spellEnd"/>
            <w:r w:rsidRPr="00AB74F4">
              <w:rPr>
                <w:rFonts w:eastAsia="Calibri" w:cs="Arial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: 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>Plin</w:t>
            </w:r>
            <w:proofErr w:type="spellEnd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. 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Ep</w:t>
            </w:r>
            <w:proofErr w:type="spellEnd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I 9; VI 7; VII 5; VII 9; IX 6; IX 36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Calibri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Calibri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Einführung und Festigung sprachlicher Phänomene:</w:t>
            </w:r>
          </w:p>
          <w:p w:rsidR="00950BAB" w:rsidRPr="00C74358" w:rsidRDefault="00E42A3D" w:rsidP="00C7435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left"/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Analyse von Infinitiv- und Partizipialkonstruktionen sowie weiteren grammatischen Phänomenen im Textzusammenhang </w:t>
            </w:r>
          </w:p>
          <w:p w:rsidR="00E42A3D" w:rsidRPr="00C74358" w:rsidRDefault="00E42A3D" w:rsidP="00C74358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left"/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Einführung von Nominalformen des Verbs sowie von </w:t>
            </w:r>
            <w:proofErr w:type="spellStart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Deponentien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und </w:t>
            </w:r>
            <w:proofErr w:type="spellStart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Semideponentien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im Textzusammenhang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Calibri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Calibri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Potenzial der Texte im Hinblick auf die historische Kommunikation:</w:t>
            </w:r>
          </w:p>
          <w:p w:rsidR="00E42A3D" w:rsidRPr="00C74358" w:rsidRDefault="00E42A3D" w:rsidP="00C74358">
            <w:pPr>
              <w:pStyle w:val="Listenabsatz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left"/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Erarbeitung des römischen Freizeitbegriffes (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otium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), von Freizeitbeschäftigungen sowie der </w:t>
            </w:r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Lebenswirklichkeit des Plinius </w:t>
            </w:r>
          </w:p>
          <w:p w:rsidR="00E42A3D" w:rsidRPr="00C74358" w:rsidRDefault="00E42A3D" w:rsidP="00C74358">
            <w:pPr>
              <w:pStyle w:val="Listenabsatz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left"/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Vertiefung und Ergänzung der </w:t>
            </w:r>
            <w:proofErr w:type="spellStart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plinianischen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Begriffsdefinition durch Gegenüberstellung mit dem 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otium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cum 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dignitate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Ciceros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durch das Gegenmodell einer populären Freizeitbeschäftigung und der Alltagsgestaltung sowie der gehobenen Wohnsituation im </w:t>
            </w:r>
            <w:proofErr w:type="spellStart"/>
            <w:r w:rsidRPr="00C74358">
              <w:rPr>
                <w:rFonts w:eastAsia="Calibri" w:cs="Arial"/>
                <w:i/>
                <w:color w:val="000000"/>
                <w:kern w:val="1"/>
                <w:sz w:val="20"/>
                <w:szCs w:val="20"/>
                <w:lang w:eastAsia="hi-IN" w:bidi="hi-IN"/>
              </w:rPr>
              <w:t>otium</w:t>
            </w:r>
            <w:proofErr w:type="spellEnd"/>
            <w:r w:rsidRP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Entsprechendes Material liegt vor. Ggf. kann der Besuch einer exemplarischen Villa ermöglicht we</w:t>
            </w:r>
            <w:r w:rsid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rden (etwa Villa </w:t>
            </w:r>
            <w:proofErr w:type="spellStart"/>
            <w:r w:rsid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Otrang</w:t>
            </w:r>
            <w:proofErr w:type="spellEnd"/>
            <w:r w:rsidR="00C74358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bei Bit</w:t>
            </w:r>
            <w:r w:rsidRPr="00AB74F4">
              <w:rPr>
                <w:rFonts w:eastAsia="Calibri" w:cs="Arial"/>
                <w:color w:val="000000"/>
                <w:kern w:val="1"/>
                <w:sz w:val="20"/>
                <w:szCs w:val="20"/>
                <w:lang w:eastAsia="hi-IN" w:bidi="hi-IN"/>
              </w:rPr>
              <w:t>burg).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 xml:space="preserve">Hinweis zur Klassenarbeit: 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Übersetzungstext stark am Original orientierter Plinius-Text oder Originaltext</w:t>
            </w:r>
          </w:p>
          <w:p w:rsidR="00E42A3D" w:rsidRPr="00AB74F4" w:rsidRDefault="00E42A3D" w:rsidP="00DA054C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B74F4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 xml:space="preserve">Hilfreiche Links: </w:t>
            </w:r>
          </w:p>
          <w:p w:rsidR="00E42A3D" w:rsidRPr="00C74358" w:rsidRDefault="002466D8" w:rsidP="00C74358">
            <w:pPr>
              <w:pStyle w:val="Listenabsatz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left"/>
              <w:rPr>
                <w:rFonts w:eastAsia="SimSun" w:cs="Arial"/>
                <w:color w:val="0000FF"/>
                <w:kern w:val="1"/>
                <w:sz w:val="20"/>
                <w:szCs w:val="20"/>
                <w:lang w:eastAsia="hi-IN" w:bidi="hi-IN"/>
              </w:rPr>
            </w:pPr>
            <w:hyperlink r:id="rId6" w:history="1">
              <w:r w:rsidR="00E42A3D" w:rsidRPr="005072BF">
                <w:rPr>
                  <w:rStyle w:val="Hyperlink"/>
                  <w:rFonts w:eastAsia="SimSun" w:cs="Arial"/>
                  <w:color w:val="0000FF"/>
                  <w:kern w:val="1"/>
                  <w:sz w:val="20"/>
                  <w:szCs w:val="20"/>
                  <w:u w:val="none"/>
                  <w:lang w:eastAsia="hi-IN" w:bidi="hi-IN"/>
                </w:rPr>
                <w:t>http://zentrum-der-antike.de/monumente/villa-otrang/die-villa-otrang.html</w:t>
              </w:r>
            </w:hyperlink>
            <w:r w:rsidR="00E42A3D" w:rsidRPr="00C74358">
              <w:rPr>
                <w:sz w:val="20"/>
                <w:szCs w:val="20"/>
              </w:rPr>
              <w:t xml:space="preserve"> (Datum des letzten Zugriffs: 31.1.2022)</w:t>
            </w:r>
          </w:p>
          <w:p w:rsidR="00E42A3D" w:rsidRPr="00C74358" w:rsidRDefault="00E42A3D" w:rsidP="00C74358">
            <w:pPr>
              <w:pStyle w:val="Listenabsatz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left"/>
              <w:rPr>
                <w:rFonts w:eastAsia="SimSun" w:cs="Arial"/>
                <w:color w:val="0000FF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color w:val="0000FF"/>
                <w:sz w:val="20"/>
                <w:szCs w:val="20"/>
              </w:rPr>
              <w:t>http://</w:t>
            </w:r>
            <w:hyperlink r:id="rId7" w:history="1">
              <w:r w:rsidRPr="005072BF">
                <w:rPr>
                  <w:rStyle w:val="Hyperlink"/>
                  <w:rFonts w:eastAsia="SimSun" w:cs="Arial"/>
                  <w:color w:val="0000FF"/>
                  <w:kern w:val="1"/>
                  <w:sz w:val="20"/>
                  <w:szCs w:val="20"/>
                  <w:u w:val="none"/>
                  <w:lang w:eastAsia="hi-IN" w:bidi="hi-IN"/>
                </w:rPr>
                <w:t>www.alte-sprachen.de/Plinius/landhaus.htm</w:t>
              </w:r>
            </w:hyperlink>
            <w:r w:rsidRPr="00C74358">
              <w:rPr>
                <w:sz w:val="20"/>
                <w:szCs w:val="20"/>
              </w:rPr>
              <w:t xml:space="preserve"> (Datum des letzten Zugriffs: 31.1.2022)</w:t>
            </w:r>
          </w:p>
          <w:p w:rsidR="00950BAB" w:rsidRPr="00C74358" w:rsidRDefault="00E42A3D" w:rsidP="00C74358">
            <w:pPr>
              <w:pStyle w:val="Listenabsatz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left"/>
              <w:rPr>
                <w:rFonts w:eastAsia="SimSun" w:cs="Arial"/>
                <w:color w:val="0000FF"/>
                <w:kern w:val="1"/>
                <w:sz w:val="20"/>
                <w:szCs w:val="20"/>
                <w:lang w:eastAsia="hi-IN" w:bidi="hi-IN"/>
              </w:rPr>
            </w:pPr>
            <w:r w:rsidRPr="00C74358">
              <w:rPr>
                <w:color w:val="0000FF"/>
                <w:sz w:val="20"/>
                <w:szCs w:val="20"/>
              </w:rPr>
              <w:t>http://</w:t>
            </w:r>
            <w:hyperlink r:id="rId8" w:history="1">
              <w:r w:rsidRPr="005072BF">
                <w:rPr>
                  <w:rStyle w:val="Hyperlink"/>
                  <w:rFonts w:eastAsia="SimSun" w:cs="Arial"/>
                  <w:color w:val="0000FF"/>
                  <w:kern w:val="1"/>
                  <w:sz w:val="20"/>
                  <w:szCs w:val="20"/>
                  <w:u w:val="none"/>
                  <w:lang w:eastAsia="hi-IN" w:bidi="hi-IN"/>
                </w:rPr>
                <w:t>www.forumtraiani.de/villa-maritima</w:t>
              </w:r>
            </w:hyperlink>
            <w:r w:rsidRPr="00C74358">
              <w:rPr>
                <w:sz w:val="20"/>
                <w:szCs w:val="20"/>
              </w:rPr>
              <w:t xml:space="preserve"> (Datum des letzten Zugriffs: 31.1.2022)</w:t>
            </w:r>
          </w:p>
          <w:p w:rsidR="00E42A3D" w:rsidRPr="00236508" w:rsidRDefault="00E42A3D" w:rsidP="00C74358">
            <w:pPr>
              <w:pStyle w:val="Listenabsatz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left"/>
              <w:rPr>
                <w:rFonts w:eastAsia="SimSun" w:cs="Arial"/>
                <w:b/>
                <w:kern w:val="1"/>
                <w:lang w:eastAsia="hi-IN" w:bidi="hi-IN"/>
              </w:rPr>
            </w:pPr>
            <w:r w:rsidRPr="00C74358">
              <w:rPr>
                <w:color w:val="0000FF"/>
                <w:sz w:val="20"/>
                <w:szCs w:val="20"/>
              </w:rPr>
              <w:t>http://</w:t>
            </w:r>
            <w:hyperlink r:id="rId9" w:history="1">
              <w:r w:rsidRPr="005072BF">
                <w:rPr>
                  <w:rStyle w:val="Hyperlink"/>
                  <w:rFonts w:eastAsia="SimSun" w:cs="Arial"/>
                  <w:color w:val="0000FF"/>
                  <w:kern w:val="1"/>
                  <w:sz w:val="20"/>
                  <w:szCs w:val="20"/>
                  <w:u w:val="none"/>
                  <w:lang w:eastAsia="hi-IN" w:bidi="hi-IN"/>
                </w:rPr>
                <w:t>www.academia.edu/1587656/Otium_und_negotium_in_den_ep</w:t>
              </w:r>
              <w:r w:rsidRPr="00950BAB">
                <w:rPr>
                  <w:rStyle w:val="Hyperlink"/>
                  <w:rFonts w:eastAsia="SimSun" w:cs="Arial"/>
                  <w:color w:val="0000FF"/>
                  <w:kern w:val="1"/>
                  <w:sz w:val="20"/>
                  <w:szCs w:val="20"/>
                  <w:u w:val="none"/>
                  <w:lang w:eastAsia="hi-IN" w:bidi="hi-IN"/>
                </w:rPr>
                <w:t>istulae_Plinius_des_Jüngeren_Zwischen_Tradition_und_Wertewandel_in_Diomedes_Schriftenreihe_des_Fachbereiches_Altertumswissenschaften_Alte_Geschichte_Altertumskunde_und_Mykenologie_der_Universität_Salzburg_N_F_5_2010_89_100</w:t>
              </w:r>
            </w:hyperlink>
            <w:r w:rsidRPr="00C74358">
              <w:rPr>
                <w:sz w:val="20"/>
                <w:szCs w:val="20"/>
              </w:rPr>
              <w:t xml:space="preserve"> (Datum des letzten Zugriffs: 31.1.2022)</w:t>
            </w:r>
          </w:p>
        </w:tc>
      </w:tr>
    </w:tbl>
    <w:p w:rsidR="006C2A81" w:rsidRDefault="00C61CA7"/>
    <w:sectPr w:rsidR="006C2A81" w:rsidSect="00E41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4A86B8"/>
    <w:name w:val="WW8Num1"/>
    <w:lvl w:ilvl="0">
      <w:start w:val="1"/>
      <w:numFmt w:val="bullet"/>
      <w:lvlText w:val="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23DF48F8"/>
    <w:multiLevelType w:val="hybridMultilevel"/>
    <w:tmpl w:val="1F44BED6"/>
    <w:lvl w:ilvl="0" w:tplc="8E1C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0495"/>
    <w:multiLevelType w:val="hybridMultilevel"/>
    <w:tmpl w:val="D846B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4F1D"/>
    <w:multiLevelType w:val="hybridMultilevel"/>
    <w:tmpl w:val="A92A4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6AB6"/>
    <w:multiLevelType w:val="multilevel"/>
    <w:tmpl w:val="4FEEB47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6"/>
    <w:rsid w:val="00064F03"/>
    <w:rsid w:val="00195D2F"/>
    <w:rsid w:val="00244714"/>
    <w:rsid w:val="002466D8"/>
    <w:rsid w:val="00277F8D"/>
    <w:rsid w:val="003346DF"/>
    <w:rsid w:val="003576F3"/>
    <w:rsid w:val="00443EF2"/>
    <w:rsid w:val="004A6C48"/>
    <w:rsid w:val="004D5F20"/>
    <w:rsid w:val="005072BF"/>
    <w:rsid w:val="005A104F"/>
    <w:rsid w:val="005B392A"/>
    <w:rsid w:val="006064C5"/>
    <w:rsid w:val="006A63EB"/>
    <w:rsid w:val="00716AA4"/>
    <w:rsid w:val="00836BF6"/>
    <w:rsid w:val="00841984"/>
    <w:rsid w:val="008C6365"/>
    <w:rsid w:val="00950BAB"/>
    <w:rsid w:val="00A80615"/>
    <w:rsid w:val="00A86266"/>
    <w:rsid w:val="00AB74F4"/>
    <w:rsid w:val="00AF4C09"/>
    <w:rsid w:val="00B403B5"/>
    <w:rsid w:val="00C61CA7"/>
    <w:rsid w:val="00C74358"/>
    <w:rsid w:val="00D052DB"/>
    <w:rsid w:val="00DD68E2"/>
    <w:rsid w:val="00E33457"/>
    <w:rsid w:val="00E419F5"/>
    <w:rsid w:val="00E41A4C"/>
    <w:rsid w:val="00E42A3D"/>
    <w:rsid w:val="00E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5441"/>
  <w15:docId w15:val="{3674FB97-F62E-4CC6-AE9E-296F120B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6266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7F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2D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traiani.de/villa-maritim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te-sprachen.de/Plinius/landhau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ntrum-der-antike.de/monumente/villa-otrang/die-villa-otra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a.edu/1587656/Otium_und_negotium_in_den_epistulae_Plinius_des_J&#252;ngeren_Zwischen_Tradition_und_Wertewandel_in_Diomedes_Schriftenreihe_des_Fachbereiches_Altertumswissenschaften_Alte_Geschichte_Altertumskunde_und_Mykenologie_der_Universit&#228;t_Salzburg_N_F_5_2010_89_10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A26F-53B9-4AC7-8A0F-25D3221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2021-12-31T09:58:00Z</cp:lastPrinted>
  <dcterms:created xsi:type="dcterms:W3CDTF">2022-01-25T09:59:00Z</dcterms:created>
  <dcterms:modified xsi:type="dcterms:W3CDTF">2022-01-25T10:07:00Z</dcterms:modified>
</cp:coreProperties>
</file>