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2" w:type="pct"/>
        <w:tblInd w:w="-10" w:type="dxa"/>
        <w:tblLayout w:type="fixed"/>
        <w:tblCellMar>
          <w:left w:w="10" w:type="dxa"/>
          <w:right w:w="10" w:type="dxa"/>
        </w:tblCellMar>
        <w:tblLook w:val="0000" w:firstRow="0" w:lastRow="0" w:firstColumn="0" w:lastColumn="0" w:noHBand="0" w:noVBand="0"/>
      </w:tblPr>
      <w:tblGrid>
        <w:gridCol w:w="10"/>
        <w:gridCol w:w="1833"/>
        <w:gridCol w:w="3260"/>
        <w:gridCol w:w="2410"/>
        <w:gridCol w:w="6643"/>
        <w:gridCol w:w="19"/>
        <w:gridCol w:w="24"/>
      </w:tblGrid>
      <w:tr w:rsidR="00BE5CCB" w:rsidRPr="004C53DA" w14:paraId="79E64400" w14:textId="77777777" w:rsidTr="004E2CA8">
        <w:trPr>
          <w:gridBefore w:val="1"/>
          <w:wBefore w:w="10" w:type="dxa"/>
          <w:trHeight w:val="227"/>
          <w:tblHeader/>
        </w:trPr>
        <w:tc>
          <w:tcPr>
            <w:tcW w:w="7503" w:type="dxa"/>
            <w:gridSpan w:val="3"/>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66913E04" w14:textId="6592DF4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 xml:space="preserve">UV </w:t>
            </w:r>
            <w:r w:rsidR="00BA42C3">
              <w:rPr>
                <w:rFonts w:eastAsia="Times New Roman"/>
                <w:b/>
                <w:color w:val="000000" w:themeColor="text1"/>
                <w:sz w:val="20"/>
                <w:lang w:eastAsia="de-DE"/>
              </w:rPr>
              <w:t>G</w:t>
            </w:r>
            <w:r w:rsidRPr="004C53DA">
              <w:rPr>
                <w:rFonts w:eastAsia="Times New Roman"/>
                <w:b/>
                <w:color w:val="000000" w:themeColor="text1"/>
                <w:sz w:val="20"/>
                <w:lang w:eastAsia="de-DE"/>
              </w:rPr>
              <w:t xml:space="preserve">K-S1: Energieumwandlung in lebenden Systemen </w:t>
            </w:r>
          </w:p>
          <w:p w14:paraId="6D050654" w14:textId="77777777" w:rsidR="00BE5CCB" w:rsidRPr="004C53DA" w:rsidRDefault="00BE5CCB" w:rsidP="00401345">
            <w:pPr>
              <w:keepNext/>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 xml:space="preserve">Inhaltsfeld 3: Stoffwechselphysiologie </w:t>
            </w:r>
          </w:p>
          <w:p w14:paraId="74D0AD6A" w14:textId="198E3157" w:rsidR="00BE5CCB" w:rsidRPr="004C53DA" w:rsidRDefault="00BE5CCB" w:rsidP="00401345">
            <w:pPr>
              <w:rPr>
                <w:color w:val="000000" w:themeColor="text1"/>
                <w:lang w:eastAsia="de-DE"/>
              </w:rPr>
            </w:pPr>
            <w:r w:rsidRPr="004C53DA">
              <w:rPr>
                <w:color w:val="000000" w:themeColor="text1"/>
                <w:sz w:val="18"/>
                <w:szCs w:val="18"/>
                <w:lang w:eastAsia="de-DE"/>
              </w:rPr>
              <w:t xml:space="preserve">Zeitbedarf: ca. </w:t>
            </w:r>
            <w:r w:rsidR="00E52525">
              <w:rPr>
                <w:color w:val="000000" w:themeColor="text1"/>
                <w:sz w:val="18"/>
                <w:szCs w:val="18"/>
                <w:lang w:eastAsia="de-DE"/>
              </w:rPr>
              <w:t>5</w:t>
            </w:r>
            <w:r w:rsidRPr="004C53DA">
              <w:rPr>
                <w:color w:val="000000" w:themeColor="text1"/>
                <w:sz w:val="18"/>
                <w:szCs w:val="18"/>
                <w:lang w:eastAsia="de-DE"/>
              </w:rPr>
              <w:t xml:space="preserve"> Unterrichtsstunden à 45 Minuten </w:t>
            </w:r>
          </w:p>
        </w:tc>
        <w:tc>
          <w:tcPr>
            <w:tcW w:w="6643"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0499A0BD" w14:textId="77777777" w:rsidR="00BE5CCB" w:rsidRPr="004C53DA" w:rsidRDefault="00BE5CCB" w:rsidP="00401345">
            <w:pPr>
              <w:rPr>
                <w:color w:val="000000" w:themeColor="text1"/>
                <w:sz w:val="18"/>
                <w:szCs w:val="18"/>
                <w:lang w:eastAsia="de-DE"/>
              </w:rPr>
            </w:pPr>
          </w:p>
        </w:tc>
        <w:tc>
          <w:tcPr>
            <w:tcW w:w="43" w:type="dxa"/>
            <w:gridSpan w:val="2"/>
            <w:tcBorders>
              <w:left w:val="single" w:sz="8" w:space="0" w:color="000000"/>
            </w:tcBorders>
          </w:tcPr>
          <w:p w14:paraId="14B8356D" w14:textId="7777777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p>
        </w:tc>
      </w:tr>
      <w:tr w:rsidR="00BE5CCB" w:rsidRPr="004C53DA" w14:paraId="35CD71EE" w14:textId="77777777" w:rsidTr="004E2CA8">
        <w:trPr>
          <w:gridBefore w:val="1"/>
          <w:wBefore w:w="10" w:type="dxa"/>
          <w:trHeight w:val="227"/>
          <w:tblHeader/>
        </w:trPr>
        <w:tc>
          <w:tcPr>
            <w:tcW w:w="7503" w:type="dxa"/>
            <w:gridSpan w:val="3"/>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11CBB70D" w14:textId="7777777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Inhaltliche Schwerpunkte:</w:t>
            </w:r>
          </w:p>
          <w:p w14:paraId="4F3A3BB9" w14:textId="77777777" w:rsidR="00BE5CCB" w:rsidRPr="004C53DA" w:rsidRDefault="00BE5CCB" w:rsidP="00401345">
            <w:pPr>
              <w:spacing w:after="60" w:line="240" w:lineRule="auto"/>
              <w:jc w:val="left"/>
              <w:rPr>
                <w:rFonts w:eastAsia="Times New Roman"/>
                <w:iCs/>
                <w:color w:val="000000" w:themeColor="text1"/>
                <w:sz w:val="18"/>
                <w:szCs w:val="16"/>
                <w:lang w:eastAsia="de-DE"/>
              </w:rPr>
            </w:pPr>
            <w:r w:rsidRPr="004C53DA">
              <w:rPr>
                <w:rFonts w:eastAsia="Times New Roman"/>
                <w:iCs/>
                <w:color w:val="000000" w:themeColor="text1"/>
                <w:sz w:val="18"/>
                <w:szCs w:val="16"/>
                <w:lang w:eastAsia="de-DE"/>
              </w:rPr>
              <w:t>Grundlegende Zusammenhänge von Stoffwechselwegen</w:t>
            </w:r>
          </w:p>
        </w:tc>
        <w:tc>
          <w:tcPr>
            <w:tcW w:w="6643"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0812056C" w14:textId="7777777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Beiträge zu den Basiskonzepten:</w:t>
            </w:r>
          </w:p>
          <w:p w14:paraId="3666B236" w14:textId="77777777" w:rsidR="00BE5CCB" w:rsidRPr="004C53DA" w:rsidRDefault="00BE5CCB" w:rsidP="00401345">
            <w:pPr>
              <w:spacing w:after="60" w:line="240" w:lineRule="auto"/>
              <w:jc w:val="left"/>
              <w:rPr>
                <w:rFonts w:eastAsia="Times New Roman"/>
                <w:iCs/>
                <w:color w:val="000000" w:themeColor="text1"/>
                <w:sz w:val="18"/>
                <w:szCs w:val="16"/>
                <w:lang w:eastAsia="de-DE"/>
              </w:rPr>
            </w:pPr>
            <w:r w:rsidRPr="004C53DA">
              <w:rPr>
                <w:rFonts w:eastAsia="Times New Roman"/>
                <w:iCs/>
                <w:color w:val="000000" w:themeColor="text1"/>
                <w:sz w:val="18"/>
                <w:szCs w:val="16"/>
                <w:lang w:eastAsia="de-DE"/>
              </w:rPr>
              <w:t xml:space="preserve">Struktur und Funktion: </w:t>
            </w:r>
          </w:p>
          <w:p w14:paraId="1CCFA161" w14:textId="77777777" w:rsidR="00BE5CCB" w:rsidRPr="00963CAA" w:rsidRDefault="00BE5CCB" w:rsidP="00963CAA">
            <w:pPr>
              <w:pStyle w:val="Listenabsatz"/>
              <w:widowControl w:val="0"/>
              <w:numPr>
                <w:ilvl w:val="0"/>
                <w:numId w:val="10"/>
              </w:numPr>
              <w:spacing w:after="60" w:line="240" w:lineRule="auto"/>
              <w:ind w:left="170" w:hanging="170"/>
              <w:jc w:val="left"/>
              <w:rPr>
                <w:rFonts w:eastAsia="Times New Roman"/>
                <w:iCs/>
                <w:color w:val="000000" w:themeColor="text1"/>
                <w:sz w:val="18"/>
                <w:szCs w:val="18"/>
                <w:lang w:eastAsia="de-DE"/>
              </w:rPr>
            </w:pPr>
            <w:proofErr w:type="spellStart"/>
            <w:r w:rsidRPr="00963CAA">
              <w:rPr>
                <w:rFonts w:eastAsia="Times New Roman"/>
                <w:iCs/>
                <w:color w:val="000000" w:themeColor="text1"/>
                <w:sz w:val="18"/>
                <w:szCs w:val="18"/>
                <w:lang w:eastAsia="de-DE"/>
              </w:rPr>
              <w:t>Kompartimentierung</w:t>
            </w:r>
            <w:proofErr w:type="spellEnd"/>
            <w:r w:rsidRPr="00963CAA">
              <w:rPr>
                <w:rFonts w:eastAsia="Times New Roman"/>
                <w:iCs/>
                <w:color w:val="000000" w:themeColor="text1"/>
                <w:sz w:val="18"/>
                <w:szCs w:val="18"/>
                <w:lang w:eastAsia="de-DE"/>
              </w:rPr>
              <w:t xml:space="preserve"> ermöglicht gegenläufige Stoffwechselprozesse zeitgleich in einer Zelle.</w:t>
            </w:r>
          </w:p>
          <w:p w14:paraId="646EBEF5" w14:textId="77777777" w:rsidR="00BE5CCB" w:rsidRPr="004C53DA" w:rsidRDefault="00BE5CCB" w:rsidP="00401345">
            <w:pPr>
              <w:widowControl w:val="0"/>
              <w:spacing w:after="60" w:line="240" w:lineRule="auto"/>
              <w:ind w:left="720"/>
              <w:jc w:val="left"/>
              <w:rPr>
                <w:rFonts w:eastAsia="Times New Roman"/>
                <w:iCs/>
                <w:color w:val="000000" w:themeColor="text1"/>
                <w:sz w:val="18"/>
                <w:szCs w:val="18"/>
                <w:lang w:eastAsia="de-DE"/>
              </w:rPr>
            </w:pPr>
          </w:p>
          <w:p w14:paraId="07A0AA1A" w14:textId="77777777" w:rsidR="00BE5CCB" w:rsidRPr="004C53DA" w:rsidRDefault="00BE5CCB" w:rsidP="00401345">
            <w:pPr>
              <w:widowControl w:val="0"/>
              <w:spacing w:after="60" w:line="240" w:lineRule="auto"/>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t>Stoff- und Energieumwandlung:</w:t>
            </w:r>
          </w:p>
          <w:p w14:paraId="39AA6CE8" w14:textId="77777777" w:rsidR="00BE5CCB" w:rsidRPr="00963CAA" w:rsidRDefault="00BE5CCB" w:rsidP="00963CAA">
            <w:pPr>
              <w:pStyle w:val="Listenabsatz"/>
              <w:widowControl w:val="0"/>
              <w:numPr>
                <w:ilvl w:val="0"/>
                <w:numId w:val="10"/>
              </w:numPr>
              <w:spacing w:after="60" w:line="240" w:lineRule="auto"/>
              <w:ind w:left="170" w:hanging="170"/>
              <w:jc w:val="left"/>
              <w:rPr>
                <w:rFonts w:eastAsia="Times New Roman"/>
                <w:iCs/>
                <w:color w:val="000000" w:themeColor="text1"/>
                <w:sz w:val="18"/>
                <w:szCs w:val="18"/>
                <w:lang w:eastAsia="de-DE"/>
              </w:rPr>
            </w:pPr>
            <w:r w:rsidRPr="00963CAA">
              <w:rPr>
                <w:rFonts w:eastAsia="Times New Roman"/>
                <w:iCs/>
                <w:color w:val="000000" w:themeColor="text1"/>
                <w:sz w:val="18"/>
                <w:szCs w:val="18"/>
                <w:lang w:eastAsia="de-DE"/>
              </w:rPr>
              <w:t>Energetische Kopplung der Teilreaktionen von Stoffwechselprozessen</w:t>
            </w:r>
          </w:p>
        </w:tc>
        <w:tc>
          <w:tcPr>
            <w:tcW w:w="43" w:type="dxa"/>
            <w:gridSpan w:val="2"/>
            <w:tcBorders>
              <w:left w:val="single" w:sz="8" w:space="0" w:color="000000"/>
            </w:tcBorders>
          </w:tcPr>
          <w:p w14:paraId="5A20C25E" w14:textId="7777777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p>
        </w:tc>
      </w:tr>
      <w:tr w:rsidR="00BE5CCB" w:rsidRPr="004C53DA" w14:paraId="760B6231" w14:textId="77777777" w:rsidTr="004E2CA8">
        <w:trPr>
          <w:gridBefore w:val="1"/>
          <w:wBefore w:w="10" w:type="dxa"/>
          <w:trHeight w:val="227"/>
          <w:tblHeader/>
        </w:trPr>
        <w:tc>
          <w:tcPr>
            <w:tcW w:w="7503" w:type="dxa"/>
            <w:gridSpan w:val="3"/>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259892E0" w14:textId="77777777" w:rsidR="00BE5CCB" w:rsidRPr="004C53DA" w:rsidRDefault="00BE5CCB" w:rsidP="00401345">
            <w:pPr>
              <w:keepNext/>
              <w:widowControl w:val="0"/>
              <w:spacing w:before="160" w:after="160" w:line="240" w:lineRule="auto"/>
              <w:jc w:val="left"/>
              <w:outlineLvl w:val="1"/>
              <w:rPr>
                <w:rFonts w:eastAsia="Times New Roman"/>
                <w:b/>
                <w:bCs/>
                <w:color w:val="000000" w:themeColor="text1"/>
                <w:sz w:val="20"/>
                <w:lang w:eastAsia="de-DE"/>
              </w:rPr>
            </w:pPr>
            <w:r w:rsidRPr="004C53DA">
              <w:rPr>
                <w:rFonts w:eastAsia="Times New Roman"/>
                <w:b/>
                <w:bCs/>
                <w:color w:val="000000" w:themeColor="text1"/>
                <w:sz w:val="20"/>
                <w:lang w:eastAsia="de-DE"/>
              </w:rPr>
              <w:t>Schwerpunkte</w:t>
            </w:r>
            <w:r>
              <w:rPr>
                <w:rFonts w:eastAsia="Times New Roman"/>
                <w:b/>
                <w:bCs/>
                <w:color w:val="000000" w:themeColor="text1"/>
                <w:sz w:val="20"/>
                <w:lang w:eastAsia="de-DE"/>
              </w:rPr>
              <w:t xml:space="preserve"> der Kompetenzbereiche</w:t>
            </w:r>
            <w:r w:rsidRPr="004C53DA">
              <w:rPr>
                <w:rFonts w:eastAsia="Times New Roman"/>
                <w:b/>
                <w:bCs/>
                <w:color w:val="000000" w:themeColor="text1"/>
                <w:sz w:val="20"/>
                <w:lang w:eastAsia="de-DE"/>
              </w:rPr>
              <w:t>:</w:t>
            </w:r>
          </w:p>
          <w:p w14:paraId="694765ED" w14:textId="10A8D8C4" w:rsidR="00BE5CCB" w:rsidRDefault="00BE5CCB" w:rsidP="00401345">
            <w:pPr>
              <w:widowControl w:val="0"/>
              <w:numPr>
                <w:ilvl w:val="0"/>
                <w:numId w:val="1"/>
              </w:numPr>
              <w:adjustRightInd w:val="0"/>
              <w:spacing w:after="60" w:line="240" w:lineRule="auto"/>
              <w:ind w:left="170" w:hanging="170"/>
              <w:jc w:val="left"/>
              <w:rPr>
                <w:color w:val="000000" w:themeColor="text1"/>
                <w:sz w:val="18"/>
                <w:szCs w:val="18"/>
                <w:lang w:eastAsia="de-DE"/>
              </w:rPr>
            </w:pPr>
            <w:r>
              <w:rPr>
                <w:color w:val="000000" w:themeColor="text1"/>
                <w:sz w:val="18"/>
                <w:szCs w:val="18"/>
                <w:lang w:eastAsia="de-DE"/>
              </w:rPr>
              <w:t>Zusammenhänge in lebenden Systemen betrachten</w:t>
            </w:r>
            <w:r w:rsidR="005B44AD">
              <w:rPr>
                <w:color w:val="000000" w:themeColor="text1"/>
                <w:sz w:val="18"/>
                <w:szCs w:val="18"/>
                <w:lang w:eastAsia="de-DE"/>
              </w:rPr>
              <w:t xml:space="preserve"> (S)</w:t>
            </w:r>
          </w:p>
          <w:p w14:paraId="731E2B08" w14:textId="1534792D" w:rsidR="00BE5CCB" w:rsidRPr="004C53DA" w:rsidRDefault="00BE5CCB" w:rsidP="00E52525">
            <w:pPr>
              <w:widowControl w:val="0"/>
              <w:adjustRightInd w:val="0"/>
              <w:spacing w:after="60" w:line="240" w:lineRule="auto"/>
              <w:jc w:val="left"/>
              <w:rPr>
                <w:color w:val="000000" w:themeColor="text1"/>
                <w:sz w:val="18"/>
                <w:szCs w:val="18"/>
                <w:lang w:eastAsia="de-DE"/>
              </w:rPr>
            </w:pPr>
          </w:p>
        </w:tc>
        <w:tc>
          <w:tcPr>
            <w:tcW w:w="6643"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6765CE5C" w14:textId="77777777" w:rsidR="00BE5CCB" w:rsidRPr="004C53DA" w:rsidRDefault="00BE5CCB" w:rsidP="00401345">
            <w:pPr>
              <w:spacing w:after="0" w:line="240" w:lineRule="auto"/>
              <w:rPr>
                <w:color w:val="000000" w:themeColor="text1"/>
                <w:lang w:eastAsia="de-DE"/>
              </w:rPr>
            </w:pPr>
          </w:p>
        </w:tc>
        <w:tc>
          <w:tcPr>
            <w:tcW w:w="43" w:type="dxa"/>
            <w:gridSpan w:val="2"/>
            <w:tcBorders>
              <w:left w:val="single" w:sz="8" w:space="0" w:color="000000"/>
            </w:tcBorders>
          </w:tcPr>
          <w:p w14:paraId="47AA9463" w14:textId="77777777" w:rsidR="00BE5CCB" w:rsidRPr="004C53DA" w:rsidRDefault="00BE5CCB" w:rsidP="00401345">
            <w:pPr>
              <w:keepNext/>
              <w:widowControl w:val="0"/>
              <w:spacing w:before="160" w:after="160" w:line="240" w:lineRule="auto"/>
              <w:jc w:val="left"/>
              <w:outlineLvl w:val="1"/>
              <w:rPr>
                <w:rFonts w:eastAsia="Times New Roman"/>
                <w:b/>
                <w:color w:val="000000" w:themeColor="text1"/>
                <w:sz w:val="20"/>
                <w:lang w:eastAsia="de-DE"/>
              </w:rPr>
            </w:pPr>
          </w:p>
        </w:tc>
      </w:tr>
      <w:tr w:rsidR="00BE5CCB" w:rsidRPr="004C53DA" w14:paraId="579FC548" w14:textId="77777777" w:rsidTr="004E2CA8">
        <w:tblPrEx>
          <w:tblCellMar>
            <w:top w:w="57" w:type="dxa"/>
            <w:left w:w="57" w:type="dxa"/>
            <w:bottom w:w="57" w:type="dxa"/>
            <w:right w:w="57" w:type="dxa"/>
          </w:tblCellMar>
          <w:tblLook w:val="0020" w:firstRow="1" w:lastRow="0" w:firstColumn="0" w:lastColumn="0" w:noHBand="0" w:noVBand="0"/>
        </w:tblPrEx>
        <w:trPr>
          <w:gridAfter w:val="1"/>
          <w:wAfter w:w="24" w:type="dxa"/>
          <w:trHeight w:val="227"/>
          <w:tblHeader/>
        </w:trPr>
        <w:tc>
          <w:tcPr>
            <w:tcW w:w="1843"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B605B63" w14:textId="77777777" w:rsidR="00BE5CCB" w:rsidRPr="00891C4B" w:rsidRDefault="00BE5CCB" w:rsidP="00891C4B">
            <w:pPr>
              <w:pStyle w:val="Listenabsatz"/>
              <w:widowControl w:val="0"/>
              <w:numPr>
                <w:ilvl w:val="0"/>
                <w:numId w:val="1"/>
              </w:numPr>
              <w:spacing w:after="60" w:line="240" w:lineRule="auto"/>
              <w:ind w:left="170" w:hanging="170"/>
              <w:jc w:val="left"/>
              <w:rPr>
                <w:rFonts w:eastAsia="Times New Roman"/>
                <w:iCs/>
                <w:sz w:val="18"/>
                <w:szCs w:val="18"/>
                <w:lang w:eastAsia="de-DE"/>
              </w:rPr>
            </w:pPr>
            <w:bookmarkStart w:id="0" w:name="_Hlk76125433"/>
            <w:r w:rsidRPr="00891C4B">
              <w:rPr>
                <w:rFonts w:eastAsia="Times New Roman"/>
                <w:iCs/>
                <w:sz w:val="18"/>
                <w:szCs w:val="18"/>
                <w:lang w:eastAsia="de-DE"/>
              </w:rPr>
              <w:t>Inhaltliche 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2A9EAED9" w14:textId="77777777" w:rsidR="00BE5CCB" w:rsidRPr="004C53DA" w:rsidRDefault="00BE5CCB" w:rsidP="00401345">
            <w:pPr>
              <w:widowControl w:val="0"/>
              <w:suppressAutoHyphens/>
              <w:spacing w:before="60" w:after="60" w:line="240" w:lineRule="auto"/>
              <w:jc w:val="left"/>
              <w:outlineLvl w:val="2"/>
              <w:rPr>
                <w:rFonts w:eastAsia="Times New Roman"/>
                <w:bCs/>
                <w:sz w:val="18"/>
                <w:szCs w:val="20"/>
                <w:lang w:eastAsia="de-DE"/>
              </w:rPr>
            </w:pPr>
            <w:r w:rsidRPr="004C53DA">
              <w:rPr>
                <w:rFonts w:eastAsia="Times New Roman"/>
                <w:bCs/>
                <w:sz w:val="18"/>
                <w:szCs w:val="20"/>
                <w:lang w:eastAsia="de-DE"/>
              </w:rPr>
              <w:t>Konkretisierte Kompetenzerwartungen</w:t>
            </w:r>
          </w:p>
          <w:p w14:paraId="24A6720E" w14:textId="77777777" w:rsidR="00BE5CCB" w:rsidRPr="004C53DA" w:rsidRDefault="00BE5CCB" w:rsidP="00401345">
            <w:pPr>
              <w:widowControl w:val="0"/>
              <w:suppressAutoHyphens/>
              <w:spacing w:before="60" w:after="60" w:line="240" w:lineRule="auto"/>
              <w:jc w:val="left"/>
              <w:outlineLvl w:val="2"/>
              <w:rPr>
                <w:rFonts w:eastAsia="Times New Roman"/>
                <w:bCs/>
                <w:sz w:val="18"/>
                <w:szCs w:val="20"/>
                <w:lang w:eastAsia="de-DE"/>
              </w:rPr>
            </w:pPr>
            <w:r w:rsidRPr="004C53DA">
              <w:rPr>
                <w:rFonts w:eastAsia="Times New Roman"/>
                <w:bCs/>
                <w:sz w:val="18"/>
                <w:szCs w:val="20"/>
                <w:lang w:eastAsia="de-DE"/>
              </w:rPr>
              <w:t>Schülerinnen und Schüler…</w:t>
            </w:r>
          </w:p>
        </w:tc>
        <w:tc>
          <w:tcPr>
            <w:tcW w:w="2410"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07257E8" w14:textId="77777777" w:rsidR="00BE5CCB" w:rsidRPr="004C53DA" w:rsidRDefault="00BE5CCB" w:rsidP="00401345">
            <w:pPr>
              <w:widowControl w:val="0"/>
              <w:spacing w:after="80" w:line="240" w:lineRule="auto"/>
              <w:jc w:val="left"/>
              <w:rPr>
                <w:rFonts w:eastAsia="Times New Roman"/>
                <w:i/>
                <w:iCs/>
                <w:sz w:val="18"/>
                <w:szCs w:val="18"/>
                <w:lang w:eastAsia="de-DE"/>
              </w:rPr>
            </w:pPr>
            <w:r w:rsidRPr="004C53DA">
              <w:rPr>
                <w:rFonts w:eastAsia="Times New Roman"/>
                <w:i/>
                <w:iCs/>
                <w:sz w:val="18"/>
                <w:szCs w:val="18"/>
                <w:lang w:eastAsia="de-DE"/>
              </w:rPr>
              <w:t xml:space="preserve">Sequenzierung: Leitfragen </w:t>
            </w:r>
          </w:p>
        </w:tc>
        <w:tc>
          <w:tcPr>
            <w:tcW w:w="6662" w:type="dxa"/>
            <w:gridSpan w:val="2"/>
            <w:tcBorders>
              <w:top w:val="single" w:sz="8" w:space="0" w:color="000000"/>
              <w:left w:val="single" w:sz="4" w:space="0" w:color="000000"/>
              <w:bottom w:val="single" w:sz="8" w:space="0" w:color="000000"/>
              <w:right w:val="single" w:sz="8" w:space="0" w:color="000000"/>
            </w:tcBorders>
            <w:shd w:val="clear" w:color="auto" w:fill="D9D9D9"/>
          </w:tcPr>
          <w:p w14:paraId="7B209348" w14:textId="77777777" w:rsidR="00BE5CCB" w:rsidRDefault="00BE5CCB" w:rsidP="00401345">
            <w:pPr>
              <w:widowControl w:val="0"/>
              <w:spacing w:after="80" w:line="240" w:lineRule="auto"/>
              <w:jc w:val="left"/>
              <w:rPr>
                <w:rFonts w:eastAsia="Times New Roman"/>
                <w:i/>
                <w:iCs/>
                <w:sz w:val="18"/>
                <w:szCs w:val="18"/>
                <w:lang w:eastAsia="de-DE"/>
              </w:rPr>
            </w:pPr>
          </w:p>
          <w:p w14:paraId="5DA32A6F" w14:textId="1BF9DCB7" w:rsidR="00891C4B" w:rsidRPr="00891C4B" w:rsidRDefault="00891C4B" w:rsidP="00401345">
            <w:pPr>
              <w:widowControl w:val="0"/>
              <w:spacing w:after="80" w:line="240" w:lineRule="auto"/>
              <w:jc w:val="left"/>
              <w:rPr>
                <w:rFonts w:eastAsia="Times New Roman"/>
                <w:b/>
                <w:bCs/>
                <w:sz w:val="18"/>
                <w:szCs w:val="18"/>
                <w:lang w:eastAsia="de-DE"/>
              </w:rPr>
            </w:pPr>
            <w:r>
              <w:rPr>
                <w:rFonts w:eastAsia="Times New Roman"/>
                <w:b/>
                <w:bCs/>
                <w:sz w:val="18"/>
                <w:szCs w:val="18"/>
                <w:lang w:eastAsia="de-DE"/>
              </w:rPr>
              <w:t>Didaktisch-methodische Anmerkungen und Empfehlungen</w:t>
            </w:r>
          </w:p>
        </w:tc>
      </w:tr>
      <w:bookmarkEnd w:id="0"/>
      <w:tr w:rsidR="00BE5CCB" w:rsidRPr="004C53DA" w14:paraId="1D289C44" w14:textId="77777777" w:rsidTr="004E2CA8">
        <w:tblPrEx>
          <w:tblCellMar>
            <w:top w:w="57" w:type="dxa"/>
            <w:left w:w="57" w:type="dxa"/>
            <w:bottom w:w="57" w:type="dxa"/>
            <w:right w:w="57" w:type="dxa"/>
          </w:tblCellMar>
          <w:tblLook w:val="0020" w:firstRow="1" w:lastRow="0" w:firstColumn="0" w:lastColumn="0" w:noHBand="0" w:noVBand="0"/>
        </w:tblPrEx>
        <w:trPr>
          <w:gridAfter w:val="1"/>
          <w:wAfter w:w="24" w:type="dxa"/>
          <w:cantSplit/>
          <w:trHeight w:val="20"/>
        </w:trPr>
        <w:tc>
          <w:tcPr>
            <w:tcW w:w="1843" w:type="dxa"/>
            <w:gridSpan w:val="2"/>
            <w:tcBorders>
              <w:top w:val="single" w:sz="8" w:space="0" w:color="000000"/>
              <w:left w:val="single" w:sz="8" w:space="0" w:color="000000"/>
              <w:bottom w:val="single" w:sz="8" w:space="0" w:color="000000"/>
              <w:right w:val="single" w:sz="4" w:space="0" w:color="000000"/>
            </w:tcBorders>
            <w:shd w:val="clear" w:color="auto" w:fill="auto"/>
            <w:tcMar>
              <w:left w:w="57" w:type="dxa"/>
              <w:right w:w="57" w:type="dxa"/>
            </w:tcMar>
          </w:tcPr>
          <w:p w14:paraId="276036A5" w14:textId="77777777" w:rsidR="00BE5CCB" w:rsidRPr="004C53DA" w:rsidRDefault="00BE5CCB" w:rsidP="00401345">
            <w:pPr>
              <w:widowControl w:val="0"/>
              <w:numPr>
                <w:ilvl w:val="0"/>
                <w:numId w:val="1"/>
              </w:numPr>
              <w:adjustRightInd w:val="0"/>
              <w:spacing w:after="60" w:line="240" w:lineRule="auto"/>
              <w:ind w:left="170" w:hanging="170"/>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lastRenderedPageBreak/>
              <w:t>Energieumwandlung</w:t>
            </w:r>
          </w:p>
          <w:p w14:paraId="311D2977" w14:textId="77777777" w:rsidR="00BE5CCB" w:rsidRPr="004C53DA" w:rsidRDefault="00BE5CCB" w:rsidP="00401345">
            <w:pPr>
              <w:widowControl w:val="0"/>
              <w:numPr>
                <w:ilvl w:val="0"/>
                <w:numId w:val="1"/>
              </w:numPr>
              <w:adjustRightInd w:val="0"/>
              <w:spacing w:after="60" w:line="240" w:lineRule="auto"/>
              <w:ind w:left="170" w:hanging="170"/>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t>Energieentwertung</w:t>
            </w:r>
          </w:p>
          <w:p w14:paraId="46CC85AF" w14:textId="77777777" w:rsidR="00BE5CCB" w:rsidRPr="004C53DA" w:rsidRDefault="00BE5CCB" w:rsidP="00401345">
            <w:pPr>
              <w:widowControl w:val="0"/>
              <w:numPr>
                <w:ilvl w:val="0"/>
                <w:numId w:val="1"/>
              </w:numPr>
              <w:spacing w:after="60" w:line="240" w:lineRule="auto"/>
              <w:ind w:left="170" w:hanging="170"/>
              <w:jc w:val="left"/>
              <w:rPr>
                <w:rFonts w:eastAsia="Times New Roman"/>
                <w:iCs/>
                <w:color w:val="000000" w:themeColor="text1"/>
                <w:sz w:val="18"/>
                <w:szCs w:val="24"/>
                <w:lang w:eastAsia="de-DE"/>
              </w:rPr>
            </w:pPr>
            <w:r w:rsidRPr="004C53DA">
              <w:rPr>
                <w:rFonts w:eastAsia="Times New Roman"/>
                <w:iCs/>
                <w:color w:val="000000" w:themeColor="text1"/>
                <w:sz w:val="18"/>
                <w:szCs w:val="18"/>
                <w:lang w:eastAsia="de-DE"/>
              </w:rPr>
              <w:t>Zusammenhang von aufbauendem und abbauendem Stoffwechsel</w:t>
            </w:r>
          </w:p>
          <w:p w14:paraId="2F31610B" w14:textId="77777777" w:rsidR="00BE5CCB" w:rsidRPr="004C53DA" w:rsidRDefault="00BE5CCB" w:rsidP="00401345">
            <w:pPr>
              <w:widowControl w:val="0"/>
              <w:numPr>
                <w:ilvl w:val="0"/>
                <w:numId w:val="1"/>
              </w:numPr>
              <w:spacing w:after="60" w:line="240" w:lineRule="auto"/>
              <w:ind w:left="170" w:hanging="170"/>
              <w:jc w:val="left"/>
              <w:rPr>
                <w:rFonts w:eastAsia="Times New Roman"/>
                <w:iCs/>
                <w:color w:val="000000" w:themeColor="text1"/>
                <w:sz w:val="18"/>
                <w:szCs w:val="24"/>
                <w:lang w:eastAsia="de-DE"/>
              </w:rPr>
            </w:pPr>
            <w:r>
              <w:rPr>
                <w:rFonts w:eastAsia="Times New Roman"/>
                <w:iCs/>
                <w:color w:val="000000" w:themeColor="text1"/>
                <w:sz w:val="18"/>
                <w:szCs w:val="24"/>
                <w:lang w:eastAsia="de-DE"/>
              </w:rPr>
              <w:t>ATP-</w:t>
            </w:r>
            <w:r w:rsidRPr="004C53DA">
              <w:rPr>
                <w:rFonts w:eastAsia="Times New Roman"/>
                <w:iCs/>
                <w:color w:val="000000" w:themeColor="text1"/>
                <w:sz w:val="18"/>
                <w:szCs w:val="24"/>
                <w:lang w:eastAsia="de-DE"/>
              </w:rPr>
              <w:t>ADP-S</w:t>
            </w:r>
            <w:r w:rsidRPr="004C53DA">
              <w:rPr>
                <w:rFonts w:eastAsia="Times New Roman"/>
                <w:iCs/>
                <w:color w:val="000000" w:themeColor="text1"/>
                <w:sz w:val="18"/>
                <w:szCs w:val="18"/>
                <w:lang w:eastAsia="de-DE"/>
              </w:rPr>
              <w:t>ystem</w:t>
            </w:r>
          </w:p>
          <w:p w14:paraId="1464AE01" w14:textId="1BE9244A" w:rsidR="00BE5CCB" w:rsidRPr="004C53DA" w:rsidRDefault="00BE5CCB" w:rsidP="00401345">
            <w:pPr>
              <w:widowControl w:val="0"/>
              <w:numPr>
                <w:ilvl w:val="0"/>
                <w:numId w:val="1"/>
              </w:numPr>
              <w:adjustRightInd w:val="0"/>
              <w:spacing w:after="60" w:line="240" w:lineRule="auto"/>
              <w:ind w:left="170" w:hanging="170"/>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t xml:space="preserve">Stofftransport </w:t>
            </w:r>
            <w:r w:rsidR="00205D6E">
              <w:rPr>
                <w:rFonts w:eastAsia="Times New Roman"/>
                <w:iCs/>
                <w:color w:val="000000" w:themeColor="text1"/>
                <w:sz w:val="18"/>
                <w:szCs w:val="18"/>
                <w:lang w:eastAsia="de-DE"/>
              </w:rPr>
              <w:br/>
            </w:r>
            <w:r w:rsidRPr="004C53DA">
              <w:rPr>
                <w:rFonts w:eastAsia="Times New Roman"/>
                <w:iCs/>
                <w:color w:val="000000" w:themeColor="text1"/>
                <w:sz w:val="18"/>
                <w:szCs w:val="18"/>
                <w:lang w:eastAsia="de-DE"/>
              </w:rPr>
              <w:t>zwischen den Kompartimenten</w:t>
            </w:r>
          </w:p>
          <w:p w14:paraId="75740905" w14:textId="77777777" w:rsidR="00BE5CCB" w:rsidRPr="004C53DA" w:rsidRDefault="00BE5CCB" w:rsidP="00401345">
            <w:pPr>
              <w:widowControl w:val="0"/>
              <w:numPr>
                <w:ilvl w:val="0"/>
                <w:numId w:val="1"/>
              </w:numPr>
              <w:adjustRightInd w:val="0"/>
              <w:spacing w:after="60" w:line="240" w:lineRule="auto"/>
              <w:ind w:left="170" w:hanging="170"/>
              <w:jc w:val="left"/>
              <w:rPr>
                <w:rFonts w:eastAsia="Times New Roman"/>
                <w:iCs/>
                <w:color w:val="000000" w:themeColor="text1"/>
                <w:sz w:val="18"/>
                <w:szCs w:val="18"/>
                <w:lang w:eastAsia="de-DE"/>
              </w:rPr>
            </w:pPr>
            <w:proofErr w:type="spellStart"/>
            <w:r w:rsidRPr="004C53DA">
              <w:rPr>
                <w:rFonts w:eastAsia="Times New Roman"/>
                <w:iCs/>
                <w:color w:val="000000" w:themeColor="text1"/>
                <w:sz w:val="18"/>
                <w:szCs w:val="18"/>
                <w:lang w:eastAsia="de-DE"/>
              </w:rPr>
              <w:t>Chemiosmotische</w:t>
            </w:r>
            <w:proofErr w:type="spellEnd"/>
            <w:r w:rsidRPr="004C53DA">
              <w:rPr>
                <w:rFonts w:eastAsia="Times New Roman"/>
                <w:iCs/>
                <w:color w:val="000000" w:themeColor="text1"/>
                <w:sz w:val="18"/>
                <w:szCs w:val="18"/>
                <w:lang w:eastAsia="de-DE"/>
              </w:rPr>
              <w:t xml:space="preserve"> ATP-Bildung</w:t>
            </w:r>
          </w:p>
        </w:tc>
        <w:tc>
          <w:tcPr>
            <w:tcW w:w="3260" w:type="dxa"/>
            <w:tcBorders>
              <w:top w:val="single" w:sz="8" w:space="0" w:color="000000"/>
              <w:left w:val="single" w:sz="4" w:space="0" w:color="000000"/>
              <w:bottom w:val="single" w:sz="8" w:space="0" w:color="000000"/>
              <w:right w:val="single" w:sz="4" w:space="0" w:color="000000"/>
            </w:tcBorders>
            <w:shd w:val="clear" w:color="auto" w:fill="auto"/>
            <w:tcMar>
              <w:left w:w="57" w:type="dxa"/>
              <w:right w:w="57" w:type="dxa"/>
            </w:tcMar>
          </w:tcPr>
          <w:p w14:paraId="0F0813B6" w14:textId="4E1CAC60" w:rsidR="00BE5CCB" w:rsidRPr="004A62F6" w:rsidRDefault="004A62F6" w:rsidP="004A62F6">
            <w:pPr>
              <w:pStyle w:val="Listenabsatz"/>
              <w:numPr>
                <w:ilvl w:val="0"/>
                <w:numId w:val="1"/>
              </w:numPr>
              <w:autoSpaceDN/>
              <w:spacing w:before="60" w:after="60"/>
              <w:jc w:val="left"/>
              <w:textAlignment w:val="auto"/>
              <w:rPr>
                <w:rFonts w:eastAsiaTheme="minorHAnsi"/>
                <w:sz w:val="18"/>
                <w:szCs w:val="18"/>
              </w:rPr>
            </w:pPr>
            <w:r w:rsidRPr="00276C6B">
              <w:rPr>
                <w:rFonts w:eastAsia="Times New Roman"/>
                <w:iCs/>
                <w:color w:val="BFBFBF" w:themeColor="background1" w:themeShade="BF"/>
                <w:sz w:val="18"/>
                <w:szCs w:val="18"/>
                <w:lang w:eastAsia="de-DE"/>
              </w:rPr>
              <w:t xml:space="preserve">stellen die wesentlichen Schritte des </w:t>
            </w:r>
            <w:r w:rsidRPr="00276C6B">
              <w:rPr>
                <w:rFonts w:eastAsiaTheme="majorEastAsia"/>
                <w:iCs/>
                <w:color w:val="BFBFBF" w:themeColor="background1" w:themeShade="BF"/>
                <w:sz w:val="18"/>
                <w:szCs w:val="18"/>
                <w:lang w:eastAsia="de-DE"/>
              </w:rPr>
              <w:t>abbauenden</w:t>
            </w:r>
            <w:r w:rsidRPr="00276C6B">
              <w:rPr>
                <w:rFonts w:eastAsia="Times New Roman"/>
                <w:iCs/>
                <w:color w:val="BFBFBF" w:themeColor="background1" w:themeShade="BF"/>
                <w:sz w:val="18"/>
                <w:szCs w:val="18"/>
                <w:lang w:eastAsia="de-DE"/>
              </w:rPr>
              <w:t xml:space="preserve"> </w:t>
            </w:r>
            <w:proofErr w:type="spellStart"/>
            <w:r w:rsidRPr="00276C6B">
              <w:rPr>
                <w:rFonts w:eastAsia="Times New Roman"/>
                <w:iCs/>
                <w:color w:val="BFBFBF" w:themeColor="background1" w:themeShade="BF"/>
                <w:sz w:val="18"/>
                <w:szCs w:val="18"/>
                <w:lang w:eastAsia="de-DE"/>
              </w:rPr>
              <w:t>Glucosestoffwechsels</w:t>
            </w:r>
            <w:proofErr w:type="spellEnd"/>
            <w:r w:rsidRPr="00276C6B">
              <w:rPr>
                <w:rFonts w:eastAsia="Times New Roman"/>
                <w:iCs/>
                <w:color w:val="BFBFBF" w:themeColor="background1" w:themeShade="BF"/>
                <w:sz w:val="18"/>
                <w:szCs w:val="18"/>
                <w:lang w:eastAsia="de-DE"/>
              </w:rPr>
              <w:t xml:space="preserve"> </w:t>
            </w:r>
            <w:r w:rsidRPr="00276C6B">
              <w:rPr>
                <w:rFonts w:eastAsia="Times New Roman" w:cs="Times New Roman"/>
                <w:iCs/>
                <w:color w:val="BFBFBF" w:themeColor="background1" w:themeShade="BF"/>
                <w:sz w:val="18"/>
                <w:szCs w:val="13"/>
                <w:lang w:eastAsia="de-DE"/>
              </w:rPr>
              <w:t>unter aeroben Bedingungen</w:t>
            </w:r>
            <w:r w:rsidRPr="00276C6B">
              <w:rPr>
                <w:rFonts w:eastAsia="Times New Roman"/>
                <w:iCs/>
                <w:color w:val="BFBFBF" w:themeColor="background1" w:themeShade="BF"/>
                <w:sz w:val="18"/>
                <w:szCs w:val="18"/>
                <w:lang w:eastAsia="de-DE"/>
              </w:rPr>
              <w:t xml:space="preserve"> dar und </w:t>
            </w:r>
            <w:r w:rsidRPr="004A62F6">
              <w:rPr>
                <w:rFonts w:eastAsia="Times New Roman"/>
                <w:iCs/>
                <w:sz w:val="18"/>
                <w:szCs w:val="18"/>
                <w:lang w:eastAsia="de-DE"/>
              </w:rPr>
              <w:t xml:space="preserve">erläutern </w:t>
            </w:r>
            <w:r w:rsidRPr="00276C6B">
              <w:rPr>
                <w:rFonts w:eastAsia="Times New Roman"/>
                <w:iCs/>
                <w:color w:val="BFBFBF" w:themeColor="background1" w:themeShade="BF"/>
                <w:sz w:val="18"/>
                <w:szCs w:val="18"/>
                <w:lang w:eastAsia="de-DE"/>
              </w:rPr>
              <w:t>diese hinsichtlich der</w:t>
            </w:r>
            <w:r w:rsidRPr="004A62F6">
              <w:rPr>
                <w:rFonts w:eastAsia="Times New Roman"/>
                <w:iCs/>
                <w:sz w:val="18"/>
                <w:szCs w:val="18"/>
                <w:lang w:eastAsia="de-DE"/>
              </w:rPr>
              <w:t xml:space="preserve"> Stoff- und Energieumwandlung (S1, S7, K9).</w:t>
            </w: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tcPr>
          <w:p w14:paraId="43E8E04B" w14:textId="77777777" w:rsidR="00BE5CCB" w:rsidRPr="005B44AD" w:rsidRDefault="00BE5CCB" w:rsidP="00401345">
            <w:pPr>
              <w:widowControl w:val="0"/>
              <w:spacing w:after="80" w:line="240" w:lineRule="auto"/>
              <w:jc w:val="left"/>
              <w:rPr>
                <w:rFonts w:eastAsia="Times New Roman"/>
                <w:b/>
                <w:bCs/>
                <w:i/>
                <w:iCs/>
                <w:color w:val="000000" w:themeColor="text1"/>
                <w:sz w:val="18"/>
                <w:szCs w:val="18"/>
                <w:lang w:eastAsia="de-DE"/>
              </w:rPr>
            </w:pPr>
            <w:r w:rsidRPr="005B44AD">
              <w:rPr>
                <w:rFonts w:eastAsia="Times New Roman"/>
                <w:b/>
                <w:bCs/>
                <w:i/>
                <w:iCs/>
                <w:color w:val="000000" w:themeColor="text1"/>
                <w:sz w:val="18"/>
                <w:szCs w:val="18"/>
                <w:lang w:eastAsia="de-DE"/>
              </w:rPr>
              <w:t>Wie wandeln Organismen Energie aus der Umgebung in nutzbare Energie um?</w:t>
            </w:r>
          </w:p>
          <w:p w14:paraId="57F17968" w14:textId="3610194B" w:rsidR="00BE5CCB" w:rsidRPr="004C53DA" w:rsidRDefault="00BE5CCB" w:rsidP="00401345">
            <w:pPr>
              <w:widowControl w:val="0"/>
              <w:spacing w:after="80" w:line="240" w:lineRule="auto"/>
              <w:jc w:val="left"/>
              <w:rPr>
                <w:rFonts w:eastAsia="Times New Roman"/>
                <w:b/>
                <w:bCs/>
                <w:color w:val="000000" w:themeColor="text1"/>
                <w:sz w:val="18"/>
                <w:szCs w:val="18"/>
                <w:lang w:eastAsia="de-DE"/>
              </w:rPr>
            </w:pPr>
            <w:r w:rsidRPr="004C53DA">
              <w:rPr>
                <w:rFonts w:eastAsia="Times New Roman"/>
                <w:color w:val="000000" w:themeColor="text1"/>
                <w:sz w:val="18"/>
                <w:szCs w:val="18"/>
                <w:lang w:eastAsia="de-DE"/>
              </w:rPr>
              <w:t xml:space="preserve">(ca. </w:t>
            </w:r>
            <w:r w:rsidR="00EA047F">
              <w:rPr>
                <w:rFonts w:eastAsia="Times New Roman"/>
                <w:color w:val="000000" w:themeColor="text1"/>
                <w:sz w:val="18"/>
                <w:szCs w:val="18"/>
                <w:lang w:eastAsia="de-DE"/>
              </w:rPr>
              <w:t>5</w:t>
            </w:r>
            <w:r w:rsidRPr="004C53DA">
              <w:rPr>
                <w:rFonts w:eastAsia="Times New Roman"/>
                <w:color w:val="000000" w:themeColor="text1"/>
                <w:sz w:val="18"/>
                <w:szCs w:val="18"/>
                <w:lang w:eastAsia="de-DE"/>
              </w:rPr>
              <w:t xml:space="preserve"> Ustd</w:t>
            </w:r>
            <w:r w:rsidR="004A62F6">
              <w:rPr>
                <w:rFonts w:eastAsia="Times New Roman"/>
                <w:color w:val="000000" w:themeColor="text1"/>
                <w:sz w:val="18"/>
                <w:szCs w:val="18"/>
                <w:lang w:eastAsia="de-DE"/>
              </w:rPr>
              <w:t>.</w:t>
            </w:r>
            <w:r w:rsidRPr="004C53DA">
              <w:rPr>
                <w:rFonts w:eastAsia="Times New Roman"/>
                <w:color w:val="000000" w:themeColor="text1"/>
                <w:sz w:val="18"/>
                <w:szCs w:val="18"/>
                <w:lang w:eastAsia="de-DE"/>
              </w:rPr>
              <w:t>)</w:t>
            </w:r>
            <w:r w:rsidRPr="004C53DA">
              <w:rPr>
                <w:rFonts w:eastAsia="Times New Roman"/>
                <w:b/>
                <w:bCs/>
                <w:color w:val="000000" w:themeColor="text1"/>
                <w:sz w:val="18"/>
                <w:szCs w:val="18"/>
                <w:lang w:eastAsia="de-DE"/>
              </w:rPr>
              <w:t xml:space="preserve"> </w:t>
            </w:r>
          </w:p>
          <w:p w14:paraId="65CB74A7" w14:textId="77777777" w:rsidR="00BE5CCB" w:rsidRPr="004C53DA" w:rsidRDefault="00BE5CCB" w:rsidP="00401345">
            <w:pPr>
              <w:widowControl w:val="0"/>
              <w:spacing w:after="80" w:line="240" w:lineRule="auto"/>
              <w:jc w:val="left"/>
              <w:rPr>
                <w:rFonts w:eastAsia="Times New Roman"/>
                <w:i/>
                <w:iCs/>
                <w:color w:val="000000" w:themeColor="text1"/>
                <w:sz w:val="18"/>
                <w:szCs w:val="18"/>
                <w:lang w:eastAsia="de-DE"/>
              </w:rPr>
            </w:pPr>
          </w:p>
          <w:p w14:paraId="49471DC2" w14:textId="77777777" w:rsidR="00BE5CCB" w:rsidRPr="004C53DA" w:rsidRDefault="00BE5CCB" w:rsidP="00401345">
            <w:pPr>
              <w:widowControl w:val="0"/>
              <w:spacing w:after="80" w:line="240" w:lineRule="auto"/>
              <w:jc w:val="left"/>
              <w:rPr>
                <w:rFonts w:eastAsia="Times New Roman"/>
                <w:i/>
                <w:iCs/>
                <w:color w:val="92D050"/>
                <w:sz w:val="18"/>
                <w:szCs w:val="18"/>
                <w:lang w:eastAsia="de-DE"/>
              </w:rPr>
            </w:pPr>
          </w:p>
        </w:tc>
        <w:tc>
          <w:tcPr>
            <w:tcW w:w="6662" w:type="dxa"/>
            <w:gridSpan w:val="2"/>
            <w:tcBorders>
              <w:top w:val="single" w:sz="8" w:space="0" w:color="000000"/>
              <w:left w:val="single" w:sz="4" w:space="0" w:color="000000"/>
              <w:bottom w:val="single" w:sz="8" w:space="0" w:color="000000"/>
              <w:right w:val="single" w:sz="8" w:space="0" w:color="000000"/>
            </w:tcBorders>
          </w:tcPr>
          <w:p w14:paraId="484D7551" w14:textId="77777777" w:rsidR="00BE5CCB" w:rsidRPr="00403AF0" w:rsidRDefault="00BE5CCB" w:rsidP="00401345">
            <w:pPr>
              <w:pStyle w:val="UVGrundtext"/>
              <w:widowControl w:val="0"/>
              <w:spacing w:after="0"/>
              <w:rPr>
                <w:i/>
                <w:iCs w:val="0"/>
                <w:color w:val="000000" w:themeColor="text1"/>
                <w:szCs w:val="18"/>
              </w:rPr>
            </w:pPr>
            <w:r w:rsidRPr="00403AF0">
              <w:rPr>
                <w:i/>
                <w:iCs w:val="0"/>
                <w:color w:val="000000" w:themeColor="text1"/>
                <w:szCs w:val="18"/>
              </w:rPr>
              <w:t>Kontext:</w:t>
            </w:r>
          </w:p>
          <w:p w14:paraId="5E9A7619" w14:textId="77777777" w:rsidR="00BE5CCB" w:rsidRDefault="00BE5CCB" w:rsidP="00401345">
            <w:pPr>
              <w:pStyle w:val="Kommentartext"/>
              <w:spacing w:after="0"/>
              <w:jc w:val="left"/>
              <w:rPr>
                <w:sz w:val="18"/>
                <w:szCs w:val="18"/>
              </w:rPr>
            </w:pPr>
            <w:r>
              <w:rPr>
                <w:b/>
                <w:bCs/>
                <w:sz w:val="18"/>
                <w:szCs w:val="18"/>
              </w:rPr>
              <w:t xml:space="preserve">Leben und Energie - </w:t>
            </w:r>
            <w:r w:rsidRPr="00C23050">
              <w:rPr>
                <w:b/>
                <w:bCs/>
                <w:sz w:val="18"/>
                <w:szCs w:val="18"/>
              </w:rPr>
              <w:t>Lebensvorgänge in Zellen können nur mit Energiezufuhr ablaufen</w:t>
            </w:r>
            <w:r>
              <w:rPr>
                <w:sz w:val="18"/>
                <w:szCs w:val="18"/>
              </w:rPr>
              <w:t>.</w:t>
            </w:r>
            <w:r w:rsidRPr="007845FD">
              <w:rPr>
                <w:sz w:val="18"/>
                <w:szCs w:val="18"/>
              </w:rPr>
              <w:t xml:space="preserve">   </w:t>
            </w:r>
          </w:p>
          <w:p w14:paraId="66B17678" w14:textId="77777777" w:rsidR="00BE5CCB" w:rsidRPr="00AD5D35" w:rsidRDefault="00BE5CCB" w:rsidP="00401345">
            <w:pPr>
              <w:pStyle w:val="Kommentartext"/>
              <w:spacing w:after="0"/>
              <w:jc w:val="left"/>
              <w:rPr>
                <w:sz w:val="18"/>
                <w:szCs w:val="18"/>
              </w:rPr>
            </w:pPr>
            <w:r w:rsidRPr="00AD5D35">
              <w:rPr>
                <w:i/>
                <w:color w:val="000000" w:themeColor="text1"/>
                <w:sz w:val="18"/>
                <w:szCs w:val="18"/>
              </w:rPr>
              <w:t>Zentrale Unterrichtssituationen</w:t>
            </w:r>
            <w:r>
              <w:rPr>
                <w:i/>
                <w:color w:val="000000" w:themeColor="text1"/>
              </w:rPr>
              <w:t>:</w:t>
            </w:r>
          </w:p>
          <w:p w14:paraId="1C33FD20" w14:textId="3DE4F918" w:rsidR="005B44AD" w:rsidRPr="001531A4" w:rsidRDefault="005B44AD" w:rsidP="00891C4B">
            <w:pPr>
              <w:pStyle w:val="UVuListe"/>
              <w:numPr>
                <w:ilvl w:val="0"/>
                <w:numId w:val="1"/>
              </w:numPr>
              <w:ind w:left="170" w:hanging="170"/>
              <w:rPr>
                <w:color w:val="000000" w:themeColor="text1"/>
              </w:rPr>
            </w:pPr>
            <w:r w:rsidRPr="001531A4">
              <w:rPr>
                <w:color w:val="000000" w:themeColor="text1"/>
              </w:rPr>
              <w:t xml:space="preserve">Reaktivierung des Vorwissens zur Energieumwandlung in lebenden Systemen </w:t>
            </w:r>
            <w:r w:rsidRPr="00891C4B">
              <w:rPr>
                <w:color w:val="000000" w:themeColor="text1"/>
                <w:highlight w:val="lightGray"/>
              </w:rPr>
              <w:t>(</w:t>
            </w:r>
            <w:r w:rsidRPr="00891C4B">
              <w:rPr>
                <w:color w:val="000000" w:themeColor="text1"/>
                <w:highlight w:val="lightGray"/>
              </w:rPr>
              <w:sym w:font="Wingdings 3" w:char="F067"/>
            </w:r>
            <w:r w:rsidRPr="00891C4B">
              <w:rPr>
                <w:color w:val="000000" w:themeColor="text1"/>
                <w:highlight w:val="lightGray"/>
              </w:rPr>
              <w:t>EF)</w:t>
            </w:r>
            <w:r w:rsidRPr="00891C4B">
              <w:rPr>
                <w:color w:val="000000" w:themeColor="text1"/>
              </w:rPr>
              <w:t>,</w:t>
            </w:r>
            <w:r w:rsidRPr="001531A4">
              <w:rPr>
                <w:color w:val="000000" w:themeColor="text1"/>
              </w:rPr>
              <w:t xml:space="preserve"> insbesondere: Zusammenhang von abbauendem und aufbauendem Stoffwechsel, energetische Kopplung von Reaktionen, Bedeutung der Moleküle NADH+H</w:t>
            </w:r>
            <w:r w:rsidRPr="001531A4">
              <w:rPr>
                <w:color w:val="000000" w:themeColor="text1"/>
                <w:vertAlign w:val="superscript"/>
              </w:rPr>
              <w:t>+</w:t>
            </w:r>
            <w:r w:rsidRPr="001531A4">
              <w:rPr>
                <w:color w:val="000000" w:themeColor="text1"/>
              </w:rPr>
              <w:t xml:space="preserve"> und ATP </w:t>
            </w:r>
          </w:p>
          <w:p w14:paraId="11827AD6" w14:textId="071FC3A3" w:rsidR="005B44AD" w:rsidRPr="001531A4" w:rsidRDefault="005B44AD" w:rsidP="00891C4B">
            <w:pPr>
              <w:pStyle w:val="UVuListe"/>
              <w:numPr>
                <w:ilvl w:val="0"/>
                <w:numId w:val="1"/>
              </w:numPr>
              <w:ind w:left="170" w:hanging="170"/>
              <w:rPr>
                <w:color w:val="000000" w:themeColor="text1"/>
              </w:rPr>
            </w:pPr>
            <w:r w:rsidRPr="001531A4">
              <w:rPr>
                <w:color w:val="000000" w:themeColor="text1"/>
              </w:rPr>
              <w:t>Erarbeitung des Modells eines technischen Kraftwerks (z.B. Pumpspeicherkraftwer</w:t>
            </w:r>
            <w:r w:rsidRPr="001531A4">
              <w:t>k) zur Verdeutlichung der Energieumwandlung</w:t>
            </w:r>
            <w:r w:rsidR="00891C4B">
              <w:t>,</w:t>
            </w:r>
            <w:r w:rsidRPr="001531A4">
              <w:t xml:space="preserve"> </w:t>
            </w:r>
            <w:r w:rsidR="00891C4B">
              <w:t>d</w:t>
            </w:r>
            <w:r w:rsidRPr="001531A4">
              <w:t xml:space="preserve">abei Aktivierung von Vorwissen zum Energieerhaltungssatz </w:t>
            </w:r>
            <w:r w:rsidR="00891C4B" w:rsidRPr="00891C4B">
              <w:rPr>
                <w:highlight w:val="lightGray"/>
              </w:rPr>
              <w:t>(</w:t>
            </w:r>
            <w:r w:rsidRPr="00891C4B">
              <w:rPr>
                <w:color w:val="000000" w:themeColor="text1"/>
                <w:highlight w:val="lightGray"/>
              </w:rPr>
              <w:sym w:font="Wingdings 3" w:char="F067"/>
            </w:r>
            <w:r w:rsidRPr="00891C4B">
              <w:rPr>
                <w:color w:val="000000" w:themeColor="text1"/>
                <w:highlight w:val="lightGray"/>
              </w:rPr>
              <w:t>Physik Sek I</w:t>
            </w:r>
            <w:r w:rsidR="00891C4B">
              <w:rPr>
                <w:color w:val="000000" w:themeColor="text1"/>
                <w:shd w:val="clear" w:color="auto" w:fill="D9D9D9" w:themeFill="background1" w:themeFillShade="D9"/>
              </w:rPr>
              <w:t xml:space="preserve">) </w:t>
            </w:r>
            <w:r w:rsidRPr="00891C4B">
              <w:rPr>
                <w:color w:val="000000" w:themeColor="text1"/>
              </w:rPr>
              <w:t>[</w:t>
            </w:r>
            <w:r w:rsidRPr="001531A4">
              <w:rPr>
                <w:color w:val="000000" w:themeColor="text1"/>
              </w:rPr>
              <w:t>1]</w:t>
            </w:r>
          </w:p>
          <w:p w14:paraId="55AF1EC9" w14:textId="558A0197" w:rsidR="005B44AD" w:rsidRPr="001531A4" w:rsidRDefault="002F205A" w:rsidP="00891C4B">
            <w:pPr>
              <w:pStyle w:val="UVuListe"/>
              <w:numPr>
                <w:ilvl w:val="0"/>
                <w:numId w:val="1"/>
              </w:numPr>
              <w:ind w:left="170" w:hanging="170"/>
              <w:rPr>
                <w:color w:val="000000" w:themeColor="text1"/>
              </w:rPr>
            </w:pPr>
            <w:r>
              <w:rPr>
                <w:color w:val="000000" w:themeColor="text1"/>
              </w:rPr>
              <w:t>Beschreibung</w:t>
            </w:r>
            <w:r w:rsidR="005B44AD" w:rsidRPr="001531A4">
              <w:rPr>
                <w:color w:val="000000" w:themeColor="text1"/>
              </w:rPr>
              <w:t xml:space="preserve"> der </w:t>
            </w:r>
            <w:r>
              <w:rPr>
                <w:color w:val="000000" w:themeColor="text1"/>
              </w:rPr>
              <w:t xml:space="preserve">grundlegenden </w:t>
            </w:r>
            <w:r w:rsidR="005B44AD" w:rsidRPr="001531A4">
              <w:rPr>
                <w:color w:val="000000" w:themeColor="text1"/>
              </w:rPr>
              <w:t>Funktionsweise des Transmembranproteins ATP-</w:t>
            </w:r>
            <w:proofErr w:type="spellStart"/>
            <w:r w:rsidR="005B44AD" w:rsidRPr="001531A4">
              <w:rPr>
                <w:color w:val="000000" w:themeColor="text1"/>
              </w:rPr>
              <w:t>Synthase</w:t>
            </w:r>
            <w:proofErr w:type="spellEnd"/>
            <w:r w:rsidR="005B44AD" w:rsidRPr="001531A4">
              <w:rPr>
                <w:color w:val="000000" w:themeColor="text1"/>
              </w:rPr>
              <w:t xml:space="preserve"> in lebenden Systemen </w:t>
            </w:r>
          </w:p>
          <w:p w14:paraId="3A3CE3F4" w14:textId="74309C68" w:rsidR="005B44AD" w:rsidRPr="001531A4" w:rsidRDefault="005B44AD" w:rsidP="00891C4B">
            <w:pPr>
              <w:pStyle w:val="UVuListe"/>
              <w:numPr>
                <w:ilvl w:val="0"/>
                <w:numId w:val="1"/>
              </w:numPr>
              <w:ind w:left="170" w:hanging="170"/>
              <w:rPr>
                <w:color w:val="000000" w:themeColor="text1"/>
              </w:rPr>
            </w:pPr>
            <w:r w:rsidRPr="001531A4">
              <w:t>Übertragung der Modellvorstellung des Pumpspeicherkraftwerkes auf die Zelle: Die elektrische Energie entspricht der chemischen Energie des ATP</w:t>
            </w:r>
            <w:r w:rsidR="00891C4B">
              <w:t>, d</w:t>
            </w:r>
            <w:r w:rsidRPr="001531A4">
              <w:t xml:space="preserve">ie Turbine </w:t>
            </w:r>
            <w:r w:rsidR="00891C4B">
              <w:t>entspricht</w:t>
            </w:r>
            <w:r w:rsidRPr="001531A4">
              <w:t xml:space="preserve"> d</w:t>
            </w:r>
            <w:r w:rsidR="00891C4B">
              <w:t>er</w:t>
            </w:r>
            <w:r w:rsidRPr="001531A4">
              <w:t xml:space="preserve"> ATP-</w:t>
            </w:r>
            <w:proofErr w:type="spellStart"/>
            <w:r w:rsidRPr="001531A4">
              <w:t>Synthase</w:t>
            </w:r>
            <w:proofErr w:type="spellEnd"/>
            <w:r w:rsidRPr="001531A4">
              <w:rPr>
                <w:color w:val="000000" w:themeColor="text1"/>
              </w:rPr>
              <w:t xml:space="preserve"> [2]</w:t>
            </w:r>
          </w:p>
          <w:p w14:paraId="781A1F1D" w14:textId="609FE04E" w:rsidR="00BE5CCB" w:rsidRPr="004C53DA" w:rsidRDefault="00BE5CCB" w:rsidP="00E42C3A">
            <w:pPr>
              <w:widowControl w:val="0"/>
              <w:spacing w:after="80" w:line="240" w:lineRule="auto"/>
              <w:jc w:val="left"/>
              <w:rPr>
                <w:rFonts w:eastAsia="Times New Roman"/>
                <w:i/>
                <w:iCs/>
                <w:color w:val="000000" w:themeColor="text1"/>
                <w:sz w:val="18"/>
                <w:szCs w:val="18"/>
                <w:lang w:eastAsia="de-DE"/>
              </w:rPr>
            </w:pPr>
            <w:r w:rsidRPr="00D97B6E">
              <w:rPr>
                <w:i/>
                <w:sz w:val="18"/>
                <w:szCs w:val="18"/>
              </w:rPr>
              <w:t xml:space="preserve">Anmerkung: </w:t>
            </w:r>
            <w:r w:rsidR="00E847FC">
              <w:rPr>
                <w:i/>
                <w:sz w:val="18"/>
                <w:szCs w:val="18"/>
              </w:rPr>
              <w:t xml:space="preserve">Für die </w:t>
            </w:r>
            <w:r w:rsidR="00766060">
              <w:rPr>
                <w:i/>
                <w:sz w:val="18"/>
                <w:szCs w:val="18"/>
              </w:rPr>
              <w:t xml:space="preserve">verbindliche </w:t>
            </w:r>
            <w:r w:rsidR="00E847FC">
              <w:rPr>
                <w:i/>
                <w:sz w:val="18"/>
                <w:szCs w:val="18"/>
              </w:rPr>
              <w:t xml:space="preserve">Reihenfolge im Curriculum </w:t>
            </w:r>
            <w:r w:rsidR="00780FA7">
              <w:rPr>
                <w:i/>
                <w:sz w:val="18"/>
                <w:szCs w:val="18"/>
              </w:rPr>
              <w:t>beschließt</w:t>
            </w:r>
            <w:r w:rsidRPr="00D97B6E">
              <w:rPr>
                <w:i/>
                <w:sz w:val="18"/>
                <w:szCs w:val="18"/>
              </w:rPr>
              <w:t xml:space="preserve"> die Fachschaft</w:t>
            </w:r>
            <w:r w:rsidR="006E4E39">
              <w:rPr>
                <w:i/>
                <w:sz w:val="18"/>
                <w:szCs w:val="18"/>
              </w:rPr>
              <w:t>,</w:t>
            </w:r>
            <w:r w:rsidRPr="00D97B6E">
              <w:rPr>
                <w:i/>
                <w:sz w:val="18"/>
                <w:szCs w:val="18"/>
              </w:rPr>
              <w:t xml:space="preserve"> </w:t>
            </w:r>
            <w:r w:rsidR="00E847FC">
              <w:rPr>
                <w:i/>
                <w:sz w:val="18"/>
                <w:szCs w:val="18"/>
              </w:rPr>
              <w:t xml:space="preserve">hier </w:t>
            </w:r>
            <w:r w:rsidRPr="00D97B6E">
              <w:rPr>
                <w:i/>
                <w:sz w:val="18"/>
                <w:szCs w:val="18"/>
              </w:rPr>
              <w:t>entweder UV 2</w:t>
            </w:r>
            <w:r w:rsidR="001A58AC">
              <w:rPr>
                <w:i/>
                <w:sz w:val="18"/>
                <w:szCs w:val="18"/>
              </w:rPr>
              <w:t xml:space="preserve"> (Zellatmung) </w:t>
            </w:r>
            <w:r w:rsidRPr="00D97B6E">
              <w:rPr>
                <w:i/>
                <w:sz w:val="18"/>
                <w:szCs w:val="18"/>
              </w:rPr>
              <w:t>oder UV</w:t>
            </w:r>
            <w:r w:rsidR="001A58AC">
              <w:rPr>
                <w:i/>
                <w:sz w:val="18"/>
                <w:szCs w:val="18"/>
              </w:rPr>
              <w:t xml:space="preserve"> </w:t>
            </w:r>
            <w:r w:rsidRPr="00D97B6E">
              <w:rPr>
                <w:i/>
                <w:sz w:val="18"/>
                <w:szCs w:val="18"/>
              </w:rPr>
              <w:t xml:space="preserve">3 </w:t>
            </w:r>
            <w:r w:rsidR="001A58AC">
              <w:rPr>
                <w:i/>
                <w:sz w:val="18"/>
                <w:szCs w:val="18"/>
              </w:rPr>
              <w:t xml:space="preserve">(Fotosynthese) </w:t>
            </w:r>
            <w:r w:rsidRPr="00D97B6E">
              <w:rPr>
                <w:i/>
                <w:sz w:val="18"/>
                <w:szCs w:val="18"/>
              </w:rPr>
              <w:t>an</w:t>
            </w:r>
            <w:r w:rsidR="00780FA7">
              <w:rPr>
                <w:i/>
                <w:sz w:val="18"/>
                <w:szCs w:val="18"/>
              </w:rPr>
              <w:t>zu</w:t>
            </w:r>
            <w:r w:rsidR="001A58AC">
              <w:rPr>
                <w:i/>
                <w:sz w:val="18"/>
                <w:szCs w:val="18"/>
              </w:rPr>
              <w:t xml:space="preserve">schließen. </w:t>
            </w:r>
            <w:r w:rsidR="00E42C3A">
              <w:rPr>
                <w:i/>
                <w:sz w:val="18"/>
                <w:szCs w:val="18"/>
              </w:rPr>
              <w:t>In diesem Vorschlag wird mit UV 2 (Zellatmung) begonnen und UV 3 (Fotosynthese) in zeitliche</w:t>
            </w:r>
            <w:r w:rsidR="008E1621">
              <w:rPr>
                <w:i/>
                <w:sz w:val="18"/>
                <w:szCs w:val="18"/>
              </w:rPr>
              <w:t>r</w:t>
            </w:r>
            <w:r w:rsidR="005E1F3C">
              <w:rPr>
                <w:i/>
                <w:sz w:val="18"/>
                <w:szCs w:val="18"/>
              </w:rPr>
              <w:t xml:space="preserve"> Nähe des nachfolgenden </w:t>
            </w:r>
            <w:bookmarkStart w:id="1" w:name="_GoBack"/>
            <w:bookmarkEnd w:id="1"/>
            <w:r w:rsidR="00E42C3A">
              <w:rPr>
                <w:i/>
                <w:sz w:val="18"/>
                <w:szCs w:val="18"/>
              </w:rPr>
              <w:t>Inhaltsfeldes Ökologie unterrichtet.</w:t>
            </w:r>
          </w:p>
        </w:tc>
      </w:tr>
    </w:tbl>
    <w:p w14:paraId="1CA7023F" w14:textId="7ACADA1F" w:rsidR="00BE5CCB" w:rsidRDefault="004E2CA8" w:rsidP="00BE5CCB">
      <w:r w:rsidRPr="004E2CA8">
        <w:lastRenderedPageBreak/>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5"/>
        <w:gridCol w:w="6560"/>
        <w:gridCol w:w="7194"/>
      </w:tblGrid>
      <w:tr w:rsidR="00BE5CCB" w:rsidRPr="00E83D33" w14:paraId="76E29498" w14:textId="77777777" w:rsidTr="00401345">
        <w:trPr>
          <w:trHeight w:val="113"/>
          <w:tblHeader/>
        </w:trPr>
        <w:tc>
          <w:tcPr>
            <w:tcW w:w="184" w:type="pct"/>
            <w:tcBorders>
              <w:bottom w:val="single" w:sz="4" w:space="0" w:color="auto"/>
            </w:tcBorders>
            <w:shd w:val="clear" w:color="auto" w:fill="D9D9D9"/>
          </w:tcPr>
          <w:p w14:paraId="4E0DF37E" w14:textId="77777777" w:rsidR="00BE5CCB" w:rsidRPr="00E83D33" w:rsidRDefault="00BE5CCB" w:rsidP="00401345">
            <w:pPr>
              <w:autoSpaceDN/>
              <w:spacing w:before="60" w:after="60"/>
              <w:jc w:val="center"/>
              <w:textAlignment w:val="auto"/>
              <w:rPr>
                <w:rFonts w:eastAsia="Times New Roman" w:cs="Times New Roman"/>
                <w:b/>
                <w:color w:val="000000" w:themeColor="text1"/>
                <w:sz w:val="18"/>
                <w:szCs w:val="18"/>
              </w:rPr>
            </w:pPr>
            <w:r w:rsidRPr="00E83D33">
              <w:rPr>
                <w:rFonts w:eastAsia="Times New Roman" w:cs="Times New Roman"/>
                <w:b/>
                <w:color w:val="000000" w:themeColor="text1"/>
                <w:sz w:val="18"/>
                <w:szCs w:val="18"/>
              </w:rPr>
              <w:t>Nr.</w:t>
            </w:r>
          </w:p>
        </w:tc>
        <w:tc>
          <w:tcPr>
            <w:tcW w:w="2297" w:type="pct"/>
            <w:tcBorders>
              <w:bottom w:val="single" w:sz="4" w:space="0" w:color="auto"/>
            </w:tcBorders>
            <w:shd w:val="clear" w:color="auto" w:fill="D9D9D9"/>
          </w:tcPr>
          <w:p w14:paraId="084302FE" w14:textId="77777777" w:rsidR="00BE5CCB" w:rsidRPr="00E83D33" w:rsidRDefault="00BE5CCB" w:rsidP="00401345">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URL / Quellenangabe</w:t>
            </w:r>
          </w:p>
        </w:tc>
        <w:tc>
          <w:tcPr>
            <w:tcW w:w="2519" w:type="pct"/>
            <w:tcBorders>
              <w:bottom w:val="single" w:sz="4" w:space="0" w:color="auto"/>
            </w:tcBorders>
            <w:shd w:val="clear" w:color="auto" w:fill="D9D9D9"/>
          </w:tcPr>
          <w:p w14:paraId="0DD67210" w14:textId="77777777" w:rsidR="00BE5CCB" w:rsidRPr="00E83D33" w:rsidRDefault="00BE5CCB" w:rsidP="00401345">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Kurzbeschreibung des Inhalts / der Quelle</w:t>
            </w:r>
          </w:p>
        </w:tc>
      </w:tr>
      <w:tr w:rsidR="00BE5CCB" w:rsidRPr="00E83D33" w14:paraId="39BFE41D" w14:textId="77777777" w:rsidTr="004D1FF6">
        <w:trPr>
          <w:trHeight w:val="227"/>
        </w:trPr>
        <w:tc>
          <w:tcPr>
            <w:tcW w:w="184" w:type="pct"/>
            <w:tcBorders>
              <w:top w:val="single" w:sz="4" w:space="0" w:color="auto"/>
              <w:bottom w:val="single" w:sz="4" w:space="0" w:color="auto"/>
            </w:tcBorders>
            <w:vAlign w:val="center"/>
          </w:tcPr>
          <w:p w14:paraId="6D6B81AE" w14:textId="77777777" w:rsidR="00BE5CCB" w:rsidRPr="00E83D33" w:rsidRDefault="00BE5CCB" w:rsidP="00B47462">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1</w:t>
            </w:r>
          </w:p>
        </w:tc>
        <w:tc>
          <w:tcPr>
            <w:tcW w:w="2297" w:type="pct"/>
            <w:tcBorders>
              <w:top w:val="single" w:sz="4" w:space="0" w:color="auto"/>
              <w:left w:val="single" w:sz="4" w:space="0" w:color="auto"/>
              <w:bottom w:val="single" w:sz="4" w:space="0" w:color="auto"/>
              <w:right w:val="single" w:sz="4" w:space="0" w:color="auto"/>
            </w:tcBorders>
            <w:vAlign w:val="center"/>
          </w:tcPr>
          <w:p w14:paraId="505AD0CB" w14:textId="32A1CB62" w:rsidR="004D1FF6" w:rsidRPr="00E83D33" w:rsidRDefault="007776AE" w:rsidP="004D1FF6">
            <w:pPr>
              <w:autoSpaceDN/>
              <w:spacing w:before="60" w:after="60" w:line="240" w:lineRule="auto"/>
              <w:jc w:val="left"/>
              <w:textAlignment w:val="auto"/>
              <w:rPr>
                <w:rFonts w:eastAsia="Times New Roman" w:cs="Times New Roman"/>
                <w:color w:val="000000" w:themeColor="text1"/>
                <w:sz w:val="18"/>
                <w:szCs w:val="18"/>
              </w:rPr>
            </w:pPr>
            <w:hyperlink r:id="rId8" w:history="1">
              <w:r w:rsidR="004D1FF6" w:rsidRPr="003E3B36">
                <w:rPr>
                  <w:rStyle w:val="Hyperlink"/>
                  <w:rFonts w:eastAsia="Times New Roman" w:cs="Times New Roman"/>
                  <w:sz w:val="18"/>
                  <w:szCs w:val="18"/>
                </w:rPr>
                <w:t>https://www.schulentwicklung.nrw.de/materialdatenbank/material/view/6085</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4708DAD4" w14:textId="5820927A" w:rsidR="00BE5CCB" w:rsidRPr="00E83D33" w:rsidRDefault="00BE5CCB" w:rsidP="00BE1B8D">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Arbeitsmaterial zu den Grundlagen der ATP-Bildung in Zellen unter Berücksichtigung des Vorwissens aus der Einführungsphase und der Modellierung einer Energieumwa</w:t>
            </w:r>
            <w:r w:rsidR="00C76A29">
              <w:rPr>
                <w:rFonts w:eastAsia="Times New Roman"/>
                <w:color w:val="000000" w:themeColor="text1"/>
                <w:sz w:val="18"/>
                <w:szCs w:val="18"/>
                <w:shd w:val="clear" w:color="auto" w:fill="FFFFFF"/>
              </w:rPr>
              <w:t>ndlung im Pumpspeicherkraftwerk</w:t>
            </w:r>
          </w:p>
        </w:tc>
      </w:tr>
      <w:tr w:rsidR="00BE5CCB" w:rsidRPr="00E83D33" w14:paraId="6FD44EB4" w14:textId="77777777" w:rsidTr="00B47462">
        <w:trPr>
          <w:trHeight w:val="227"/>
        </w:trPr>
        <w:tc>
          <w:tcPr>
            <w:tcW w:w="184" w:type="pct"/>
            <w:tcBorders>
              <w:top w:val="single" w:sz="4" w:space="0" w:color="auto"/>
              <w:bottom w:val="single" w:sz="4" w:space="0" w:color="auto"/>
            </w:tcBorders>
            <w:vAlign w:val="center"/>
          </w:tcPr>
          <w:p w14:paraId="119EF1FF" w14:textId="77777777" w:rsidR="00BE5CCB" w:rsidRDefault="00BE5CCB" w:rsidP="00B47462">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2</w:t>
            </w:r>
          </w:p>
        </w:tc>
        <w:tc>
          <w:tcPr>
            <w:tcW w:w="2297" w:type="pct"/>
            <w:tcBorders>
              <w:top w:val="single" w:sz="4" w:space="0" w:color="auto"/>
              <w:left w:val="single" w:sz="4" w:space="0" w:color="auto"/>
              <w:bottom w:val="single" w:sz="4" w:space="0" w:color="auto"/>
              <w:right w:val="single" w:sz="4" w:space="0" w:color="auto"/>
            </w:tcBorders>
            <w:vAlign w:val="center"/>
          </w:tcPr>
          <w:p w14:paraId="0A34EBFE" w14:textId="1F47A9AD" w:rsidR="00BE5CCB" w:rsidRDefault="007776AE" w:rsidP="00BE1B8D">
            <w:pPr>
              <w:autoSpaceDN/>
              <w:spacing w:before="60" w:after="60" w:line="240" w:lineRule="auto"/>
              <w:jc w:val="left"/>
              <w:textAlignment w:val="auto"/>
              <w:rPr>
                <w:rFonts w:eastAsia="Times New Roman" w:cs="Times New Roman"/>
                <w:color w:val="000000" w:themeColor="text1"/>
                <w:sz w:val="18"/>
                <w:szCs w:val="18"/>
              </w:rPr>
            </w:pPr>
            <w:hyperlink r:id="rId9" w:history="1">
              <w:r w:rsidR="00BE5CCB" w:rsidRPr="00B92D87">
                <w:rPr>
                  <w:rStyle w:val="Hyperlink"/>
                  <w:rFonts w:eastAsia="Times New Roman" w:cs="Times New Roman"/>
                  <w:sz w:val="18"/>
                  <w:szCs w:val="18"/>
                </w:rPr>
                <w:t>https://www.chemie-schule.de/KnowHow/Chemiosmotische_Kopplung</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2B4E2453" w14:textId="77777777" w:rsidR="00BE5CCB" w:rsidRDefault="00BE5CCB" w:rsidP="00BE1B8D">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 xml:space="preserve">Anschauliche Erklärung des Grundprinzips der </w:t>
            </w:r>
            <w:proofErr w:type="spellStart"/>
            <w:r>
              <w:rPr>
                <w:rFonts w:eastAsia="Times New Roman"/>
                <w:color w:val="000000" w:themeColor="text1"/>
                <w:sz w:val="18"/>
                <w:szCs w:val="18"/>
                <w:shd w:val="clear" w:color="auto" w:fill="FFFFFF"/>
              </w:rPr>
              <w:t>chemiosmotischen</w:t>
            </w:r>
            <w:proofErr w:type="spellEnd"/>
            <w:r>
              <w:rPr>
                <w:rFonts w:eastAsia="Times New Roman"/>
                <w:color w:val="000000" w:themeColor="text1"/>
                <w:sz w:val="18"/>
                <w:szCs w:val="18"/>
                <w:shd w:val="clear" w:color="auto" w:fill="FFFFFF"/>
              </w:rPr>
              <w:t xml:space="preserve"> Kopplung</w:t>
            </w:r>
          </w:p>
        </w:tc>
      </w:tr>
    </w:tbl>
    <w:p w14:paraId="2857ED45" w14:textId="3188704C" w:rsidR="00174F0D" w:rsidRPr="008E61F3" w:rsidRDefault="009D3236" w:rsidP="00174F0D">
      <w:pPr>
        <w:rPr>
          <w:sz w:val="18"/>
          <w:szCs w:val="18"/>
        </w:rPr>
      </w:pPr>
      <w:r>
        <w:rPr>
          <w:sz w:val="18"/>
          <w:szCs w:val="18"/>
        </w:rPr>
        <w:br/>
        <w:t>Letzter Zugriff auf die URL: 16.12</w:t>
      </w:r>
      <w:r w:rsidR="00174F0D" w:rsidRPr="008E61F3">
        <w:rPr>
          <w:sz w:val="18"/>
          <w:szCs w:val="18"/>
        </w:rPr>
        <w:t>.2022</w:t>
      </w:r>
    </w:p>
    <w:p w14:paraId="50363693" w14:textId="73B6157F" w:rsidR="00174F0D" w:rsidRDefault="00174F0D" w:rsidP="00174F0D">
      <w:pPr>
        <w:rPr>
          <w:i/>
          <w:iCs/>
          <w:sz w:val="18"/>
          <w:szCs w:val="18"/>
        </w:rPr>
      </w:pPr>
      <w:r>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2B638FF1" w14:textId="77777777" w:rsidR="00D546FF" w:rsidRPr="00D546FF" w:rsidRDefault="00D546FF" w:rsidP="00174F0D">
      <w:pPr>
        <w:rPr>
          <w:i/>
          <w:iCs/>
          <w:sz w:val="18"/>
          <w:szCs w:val="18"/>
        </w:rPr>
      </w:pPr>
    </w:p>
    <w:p w14:paraId="1D853407" w14:textId="77777777" w:rsidR="00174F0D" w:rsidRDefault="00174F0D"/>
    <w:sectPr w:rsidR="00174F0D" w:rsidSect="00C4755B">
      <w:headerReference w:type="default" r:id="rId10"/>
      <w:footerReference w:type="default" r:id="rId11"/>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5AC6" w14:textId="77777777" w:rsidR="007776AE" w:rsidRDefault="007776AE" w:rsidP="002236B8">
      <w:pPr>
        <w:spacing w:after="0" w:line="240" w:lineRule="auto"/>
      </w:pPr>
      <w:r>
        <w:separator/>
      </w:r>
    </w:p>
  </w:endnote>
  <w:endnote w:type="continuationSeparator" w:id="0">
    <w:p w14:paraId="35067359" w14:textId="77777777" w:rsidR="007776AE" w:rsidRDefault="007776AE" w:rsidP="0022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31392"/>
      <w:docPartObj>
        <w:docPartGallery w:val="Page Numbers (Bottom of Page)"/>
        <w:docPartUnique/>
      </w:docPartObj>
    </w:sdtPr>
    <w:sdtEndPr/>
    <w:sdtContent>
      <w:p w14:paraId="343EF899" w14:textId="14AF7449" w:rsidR="00161801" w:rsidRDefault="00161801" w:rsidP="0032444B">
        <w:pPr>
          <w:pStyle w:val="Fuzeile"/>
          <w:jc w:val="right"/>
        </w:pPr>
        <w:r w:rsidRPr="00161801">
          <w:rPr>
            <w:sz w:val="18"/>
            <w:szCs w:val="18"/>
          </w:rPr>
          <w:fldChar w:fldCharType="begin"/>
        </w:r>
        <w:r w:rsidRPr="00161801">
          <w:rPr>
            <w:sz w:val="18"/>
            <w:szCs w:val="18"/>
          </w:rPr>
          <w:instrText>PAGE   \* MERGEFORMAT</w:instrText>
        </w:r>
        <w:r w:rsidRPr="00161801">
          <w:rPr>
            <w:sz w:val="18"/>
            <w:szCs w:val="18"/>
          </w:rPr>
          <w:fldChar w:fldCharType="separate"/>
        </w:r>
        <w:r w:rsidR="005E1F3C">
          <w:rPr>
            <w:noProof/>
            <w:sz w:val="18"/>
            <w:szCs w:val="18"/>
          </w:rPr>
          <w:t>3</w:t>
        </w:r>
        <w:r w:rsidRPr="00161801">
          <w:rPr>
            <w:sz w:val="18"/>
            <w:szCs w:val="18"/>
          </w:rPr>
          <w:fldChar w:fldCharType="end"/>
        </w:r>
      </w:p>
    </w:sdtContent>
  </w:sdt>
  <w:p w14:paraId="4D3ED901" w14:textId="32C9A067" w:rsidR="008724DA" w:rsidRPr="008724DA" w:rsidRDefault="0032444B" w:rsidP="0032444B">
    <w:pPr>
      <w:pStyle w:val="Fuzeile"/>
      <w:tabs>
        <w:tab w:val="clear" w:pos="4536"/>
        <w:tab w:val="clear" w:pos="9072"/>
        <w:tab w:val="left" w:pos="6600"/>
      </w:tabs>
      <w:rPr>
        <w:sz w:val="18"/>
        <w:szCs w:val="18"/>
      </w:rPr>
    </w:pPr>
    <w:r>
      <w:rPr>
        <w:sz w:val="18"/>
        <w:szCs w:val="18"/>
      </w:rPr>
      <w:tab/>
      <w:t>QUA-LiS NRW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5CE1" w14:textId="77777777" w:rsidR="007776AE" w:rsidRDefault="007776AE" w:rsidP="002236B8">
      <w:pPr>
        <w:spacing w:after="0" w:line="240" w:lineRule="auto"/>
      </w:pPr>
      <w:r>
        <w:separator/>
      </w:r>
    </w:p>
  </w:footnote>
  <w:footnote w:type="continuationSeparator" w:id="0">
    <w:p w14:paraId="44FC8A10" w14:textId="77777777" w:rsidR="007776AE" w:rsidRDefault="007776AE" w:rsidP="0022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FF80" w14:textId="30AB9FE3" w:rsidR="002236B8" w:rsidRPr="00B7781B" w:rsidRDefault="002236B8">
    <w:pPr>
      <w:pStyle w:val="Kopfzeile"/>
      <w:rPr>
        <w:sz w:val="20"/>
        <w:szCs w:val="20"/>
      </w:rPr>
    </w:pPr>
    <w:r w:rsidRPr="00B7781B">
      <w:rPr>
        <w:sz w:val="20"/>
        <w:szCs w:val="20"/>
      </w:rPr>
      <w:t>Konkretisierte</w:t>
    </w:r>
    <w:r w:rsidR="008F68AE">
      <w:rPr>
        <w:sz w:val="20"/>
        <w:szCs w:val="20"/>
      </w:rPr>
      <w:t>s</w:t>
    </w:r>
    <w:r w:rsidRPr="00B7781B">
      <w:rPr>
        <w:sz w:val="20"/>
        <w:szCs w:val="20"/>
      </w:rPr>
      <w:t xml:space="preserve"> Unterrichtsvorhaben</w:t>
    </w:r>
    <w:r w:rsidRPr="00B7781B">
      <w:rPr>
        <w:sz w:val="20"/>
        <w:szCs w:val="20"/>
      </w:rPr>
      <w:tab/>
    </w:r>
    <w:r w:rsidRPr="00B7781B">
      <w:rPr>
        <w:sz w:val="20"/>
        <w:szCs w:val="20"/>
      </w:rPr>
      <w:tab/>
    </w:r>
    <w:r w:rsidRPr="00B7781B">
      <w:rPr>
        <w:sz w:val="20"/>
        <w:szCs w:val="20"/>
      </w:rPr>
      <w:tab/>
    </w:r>
    <w:r w:rsidR="00B7781B" w:rsidRPr="00B7781B">
      <w:rPr>
        <w:sz w:val="20"/>
        <w:szCs w:val="20"/>
      </w:rPr>
      <w:t xml:space="preserve">                               </w:t>
    </w:r>
    <w:r w:rsidRPr="00B7781B">
      <w:rPr>
        <w:sz w:val="20"/>
        <w:szCs w:val="20"/>
      </w:rPr>
      <w:t xml:space="preserve">Qualifikationsphase </w:t>
    </w:r>
    <w:r w:rsidR="00B7781B" w:rsidRPr="00B7781B">
      <w:rPr>
        <w:sz w:val="20"/>
        <w:szCs w:val="20"/>
      </w:rPr>
      <w:t>– Grundkurs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48E"/>
    <w:multiLevelType w:val="hybridMultilevel"/>
    <w:tmpl w:val="E05E20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35826"/>
    <w:multiLevelType w:val="hybridMultilevel"/>
    <w:tmpl w:val="67661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211527"/>
    <w:multiLevelType w:val="hybridMultilevel"/>
    <w:tmpl w:val="306C2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731D"/>
    <w:multiLevelType w:val="hybridMultilevel"/>
    <w:tmpl w:val="CB4E1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FC6ABB"/>
    <w:multiLevelType w:val="hybridMultilevel"/>
    <w:tmpl w:val="F9A4C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3AA4F97"/>
    <w:multiLevelType w:val="hybridMultilevel"/>
    <w:tmpl w:val="7A1AAB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2C421DA"/>
    <w:multiLevelType w:val="hybridMultilevel"/>
    <w:tmpl w:val="2F067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7A1C24"/>
    <w:multiLevelType w:val="hybridMultilevel"/>
    <w:tmpl w:val="5A305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5B637BC"/>
    <w:multiLevelType w:val="hybridMultilevel"/>
    <w:tmpl w:val="4AECD8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9F2012"/>
    <w:multiLevelType w:val="hybridMultilevel"/>
    <w:tmpl w:val="20B2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854A16"/>
    <w:multiLevelType w:val="hybridMultilevel"/>
    <w:tmpl w:val="037AB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1"/>
  </w:num>
  <w:num w:numId="6">
    <w:abstractNumId w:val="2"/>
  </w:num>
  <w:num w:numId="7">
    <w:abstractNumId w:val="4"/>
  </w:num>
  <w:num w:numId="8">
    <w:abstractNumId w:val="3"/>
  </w:num>
  <w:num w:numId="9">
    <w:abstractNumId w:val="10"/>
  </w:num>
  <w:num w:numId="10">
    <w:abstractNumId w:val="1"/>
  </w:num>
  <w:num w:numId="11">
    <w:abstractNumId w:val="8"/>
  </w:num>
  <w:num w:numId="12">
    <w:abstractNumId w:val="8"/>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CB"/>
    <w:rsid w:val="000236AA"/>
    <w:rsid w:val="00043F56"/>
    <w:rsid w:val="00062215"/>
    <w:rsid w:val="000A5BAD"/>
    <w:rsid w:val="001037A5"/>
    <w:rsid w:val="00131E60"/>
    <w:rsid w:val="0016043D"/>
    <w:rsid w:val="00161801"/>
    <w:rsid w:val="00174F0D"/>
    <w:rsid w:val="001A58AC"/>
    <w:rsid w:val="00205D6E"/>
    <w:rsid w:val="00212028"/>
    <w:rsid w:val="002236B8"/>
    <w:rsid w:val="0025079E"/>
    <w:rsid w:val="00253DE6"/>
    <w:rsid w:val="00255B0F"/>
    <w:rsid w:val="002577DF"/>
    <w:rsid w:val="00276C6B"/>
    <w:rsid w:val="002815EA"/>
    <w:rsid w:val="002F205A"/>
    <w:rsid w:val="0032444B"/>
    <w:rsid w:val="003627F7"/>
    <w:rsid w:val="00371104"/>
    <w:rsid w:val="0041617D"/>
    <w:rsid w:val="00424BB1"/>
    <w:rsid w:val="00436D2F"/>
    <w:rsid w:val="0049008F"/>
    <w:rsid w:val="004919AB"/>
    <w:rsid w:val="00494B1B"/>
    <w:rsid w:val="00495EA9"/>
    <w:rsid w:val="004A2164"/>
    <w:rsid w:val="004A62F6"/>
    <w:rsid w:val="004C6132"/>
    <w:rsid w:val="004D1FF6"/>
    <w:rsid w:val="004E2CA8"/>
    <w:rsid w:val="004E4418"/>
    <w:rsid w:val="0056776A"/>
    <w:rsid w:val="005A269D"/>
    <w:rsid w:val="005B3C7E"/>
    <w:rsid w:val="005B44AD"/>
    <w:rsid w:val="005C5520"/>
    <w:rsid w:val="005E1F3C"/>
    <w:rsid w:val="005E49E6"/>
    <w:rsid w:val="00604206"/>
    <w:rsid w:val="0064155D"/>
    <w:rsid w:val="006643B2"/>
    <w:rsid w:val="0066745A"/>
    <w:rsid w:val="00681EB7"/>
    <w:rsid w:val="006E4E39"/>
    <w:rsid w:val="007175C3"/>
    <w:rsid w:val="00756AAE"/>
    <w:rsid w:val="00766060"/>
    <w:rsid w:val="007776AE"/>
    <w:rsid w:val="007807E7"/>
    <w:rsid w:val="00780FA7"/>
    <w:rsid w:val="007B485D"/>
    <w:rsid w:val="00821E62"/>
    <w:rsid w:val="00822D3C"/>
    <w:rsid w:val="008274F3"/>
    <w:rsid w:val="00832A14"/>
    <w:rsid w:val="0086084C"/>
    <w:rsid w:val="008724DA"/>
    <w:rsid w:val="00891C4B"/>
    <w:rsid w:val="008A3457"/>
    <w:rsid w:val="008B5C5E"/>
    <w:rsid w:val="008E1621"/>
    <w:rsid w:val="008F68AE"/>
    <w:rsid w:val="00911A0F"/>
    <w:rsid w:val="00947F92"/>
    <w:rsid w:val="00961539"/>
    <w:rsid w:val="009615D0"/>
    <w:rsid w:val="00963CAA"/>
    <w:rsid w:val="00964268"/>
    <w:rsid w:val="009C1B9C"/>
    <w:rsid w:val="009D3236"/>
    <w:rsid w:val="00A07899"/>
    <w:rsid w:val="00AB0827"/>
    <w:rsid w:val="00AB4D28"/>
    <w:rsid w:val="00AD747C"/>
    <w:rsid w:val="00B47462"/>
    <w:rsid w:val="00B7781B"/>
    <w:rsid w:val="00BA42C3"/>
    <w:rsid w:val="00BA71BC"/>
    <w:rsid w:val="00BE1B8D"/>
    <w:rsid w:val="00BE5CCB"/>
    <w:rsid w:val="00BF1E42"/>
    <w:rsid w:val="00C22C70"/>
    <w:rsid w:val="00C35FA6"/>
    <w:rsid w:val="00C40F7B"/>
    <w:rsid w:val="00C42CA4"/>
    <w:rsid w:val="00C45499"/>
    <w:rsid w:val="00C76A29"/>
    <w:rsid w:val="00CA50A0"/>
    <w:rsid w:val="00CE126A"/>
    <w:rsid w:val="00CE19BF"/>
    <w:rsid w:val="00D546FF"/>
    <w:rsid w:val="00D609E5"/>
    <w:rsid w:val="00D871B7"/>
    <w:rsid w:val="00DB7D21"/>
    <w:rsid w:val="00E0213B"/>
    <w:rsid w:val="00E1549F"/>
    <w:rsid w:val="00E311F2"/>
    <w:rsid w:val="00E37E96"/>
    <w:rsid w:val="00E42C3A"/>
    <w:rsid w:val="00E52525"/>
    <w:rsid w:val="00E847FC"/>
    <w:rsid w:val="00E86FA7"/>
    <w:rsid w:val="00EA047F"/>
    <w:rsid w:val="00F5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21D64"/>
  <w15:chartTrackingRefBased/>
  <w15:docId w15:val="{BA42FAAC-D930-D849-82DD-5B22687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CCB"/>
    <w:pPr>
      <w:autoSpaceDN w:val="0"/>
      <w:spacing w:after="200" w:line="276" w:lineRule="auto"/>
      <w:jc w:val="both"/>
      <w:textAlignment w:val="baseline"/>
    </w:pPr>
    <w:rPr>
      <w:rFonts w:ascii="Arial" w:eastAsia="Arial" w:hAnsi="Arial" w:cs="Arial"/>
      <w:sz w:val="22"/>
      <w:szCs w:val="22"/>
    </w:rPr>
  </w:style>
  <w:style w:type="paragraph" w:styleId="berschrift1">
    <w:name w:val="heading 1"/>
    <w:basedOn w:val="Standard"/>
    <w:next w:val="berschrift2"/>
    <w:link w:val="berschrift1Zchn"/>
    <w:uiPriority w:val="9"/>
    <w:qFormat/>
    <w:rsid w:val="00BA42C3"/>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link w:val="berschrift2Zchn"/>
    <w:uiPriority w:val="9"/>
    <w:semiHidden/>
    <w:unhideWhenUsed/>
    <w:qFormat/>
    <w:rsid w:val="00BA42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VGrundtext">
    <w:name w:val="UV_Grundtext"/>
    <w:basedOn w:val="Standard"/>
    <w:rsid w:val="00BE5CCB"/>
    <w:pPr>
      <w:spacing w:after="60" w:line="240" w:lineRule="auto"/>
      <w:jc w:val="left"/>
    </w:pPr>
    <w:rPr>
      <w:rFonts w:eastAsia="Times New Roman"/>
      <w:iCs/>
      <w:sz w:val="18"/>
      <w:szCs w:val="16"/>
      <w:lang w:eastAsia="de-DE"/>
    </w:rPr>
  </w:style>
  <w:style w:type="paragraph" w:customStyle="1" w:styleId="UVuListe">
    <w:name w:val="UV_uListe"/>
    <w:basedOn w:val="UVGrundtext"/>
    <w:rsid w:val="00BE5CCB"/>
    <w:pPr>
      <w:widowControl w:val="0"/>
      <w:numPr>
        <w:numId w:val="2"/>
      </w:numPr>
    </w:pPr>
    <w:rPr>
      <w:szCs w:val="18"/>
    </w:rPr>
  </w:style>
  <w:style w:type="numbering" w:customStyle="1" w:styleId="WWNum3a">
    <w:name w:val="WWNum3a"/>
    <w:basedOn w:val="KeineListe"/>
    <w:rsid w:val="00BE5CCB"/>
    <w:pPr>
      <w:numPr>
        <w:numId w:val="2"/>
      </w:numPr>
    </w:pPr>
  </w:style>
  <w:style w:type="character" w:styleId="Kommentarzeichen">
    <w:name w:val="annotation reference"/>
    <w:basedOn w:val="Absatz-Standardschriftart"/>
    <w:uiPriority w:val="99"/>
    <w:semiHidden/>
    <w:unhideWhenUsed/>
    <w:rsid w:val="00BE5CCB"/>
    <w:rPr>
      <w:sz w:val="16"/>
      <w:szCs w:val="16"/>
    </w:rPr>
  </w:style>
  <w:style w:type="paragraph" w:styleId="Kommentartext">
    <w:name w:val="annotation text"/>
    <w:basedOn w:val="Standard"/>
    <w:link w:val="KommentartextZchn"/>
    <w:uiPriority w:val="99"/>
    <w:unhideWhenUsed/>
    <w:rsid w:val="00BE5CCB"/>
    <w:pPr>
      <w:spacing w:line="240" w:lineRule="auto"/>
    </w:pPr>
    <w:rPr>
      <w:sz w:val="20"/>
      <w:szCs w:val="20"/>
    </w:rPr>
  </w:style>
  <w:style w:type="character" w:customStyle="1" w:styleId="KommentartextZchn">
    <w:name w:val="Kommentartext Zchn"/>
    <w:basedOn w:val="Absatz-Standardschriftart"/>
    <w:link w:val="Kommentartext"/>
    <w:uiPriority w:val="99"/>
    <w:rsid w:val="00BE5CCB"/>
    <w:rPr>
      <w:rFonts w:ascii="Arial" w:eastAsia="Arial" w:hAnsi="Arial" w:cs="Arial"/>
      <w:sz w:val="20"/>
      <w:szCs w:val="20"/>
    </w:rPr>
  </w:style>
  <w:style w:type="character" w:styleId="Hyperlink">
    <w:name w:val="Hyperlink"/>
    <w:basedOn w:val="Absatz-Standardschriftart"/>
    <w:uiPriority w:val="99"/>
    <w:unhideWhenUsed/>
    <w:rsid w:val="00BE5CCB"/>
    <w:rPr>
      <w:color w:val="0563C1" w:themeColor="hyperlink"/>
      <w:u w:val="single"/>
    </w:rPr>
  </w:style>
  <w:style w:type="character" w:styleId="BesuchterLink">
    <w:name w:val="FollowedHyperlink"/>
    <w:basedOn w:val="Absatz-Standardschriftart"/>
    <w:uiPriority w:val="99"/>
    <w:semiHidden/>
    <w:unhideWhenUsed/>
    <w:rsid w:val="00E52525"/>
    <w:rPr>
      <w:color w:val="954F72" w:themeColor="followedHyperlink"/>
      <w:u w:val="single"/>
    </w:rPr>
  </w:style>
  <w:style w:type="character" w:customStyle="1" w:styleId="berschrift1Zchn">
    <w:name w:val="Überschrift 1 Zchn"/>
    <w:basedOn w:val="Absatz-Standardschriftart"/>
    <w:link w:val="berschrift1"/>
    <w:uiPriority w:val="9"/>
    <w:rsid w:val="00BA42C3"/>
    <w:rPr>
      <w:rFonts w:ascii="Arial" w:eastAsia="Times New Roman" w:hAnsi="Arial" w:cs="Arial"/>
      <w:b/>
      <w:caps/>
      <w:sz w:val="20"/>
      <w:szCs w:val="22"/>
      <w:lang w:eastAsia="de-DE"/>
    </w:rPr>
  </w:style>
  <w:style w:type="paragraph" w:styleId="Listenabsatz">
    <w:name w:val="List Paragraph"/>
    <w:basedOn w:val="Standard"/>
    <w:rsid w:val="00BA42C3"/>
  </w:style>
  <w:style w:type="paragraph" w:customStyle="1" w:styleId="UVLeitfrage">
    <w:name w:val="UV_Leitfrage"/>
    <w:basedOn w:val="UVGrundtext"/>
    <w:rsid w:val="00BA42C3"/>
    <w:pPr>
      <w:widowControl w:val="0"/>
      <w:spacing w:after="80"/>
    </w:pPr>
    <w:rPr>
      <w:i/>
      <w:szCs w:val="18"/>
    </w:rPr>
  </w:style>
  <w:style w:type="character" w:customStyle="1" w:styleId="berschrift2Zchn">
    <w:name w:val="Überschrift 2 Zchn"/>
    <w:basedOn w:val="Absatz-Standardschriftart"/>
    <w:link w:val="berschrift2"/>
    <w:uiPriority w:val="9"/>
    <w:semiHidden/>
    <w:rsid w:val="00BA42C3"/>
    <w:rPr>
      <w:rFonts w:asciiTheme="majorHAnsi" w:eastAsiaTheme="majorEastAsia" w:hAnsiTheme="majorHAnsi" w:cstheme="majorBidi"/>
      <w:color w:val="2F5496" w:themeColor="accent1" w:themeShade="BF"/>
      <w:sz w:val="26"/>
      <w:szCs w:val="26"/>
    </w:rPr>
  </w:style>
  <w:style w:type="paragraph" w:styleId="Kommentarthema">
    <w:name w:val="annotation subject"/>
    <w:basedOn w:val="Kommentartext"/>
    <w:next w:val="Kommentartext"/>
    <w:link w:val="KommentarthemaZchn"/>
    <w:uiPriority w:val="99"/>
    <w:semiHidden/>
    <w:unhideWhenUsed/>
    <w:rsid w:val="004E4418"/>
    <w:rPr>
      <w:b/>
      <w:bCs/>
    </w:rPr>
  </w:style>
  <w:style w:type="character" w:customStyle="1" w:styleId="KommentarthemaZchn">
    <w:name w:val="Kommentarthema Zchn"/>
    <w:basedOn w:val="KommentartextZchn"/>
    <w:link w:val="Kommentarthema"/>
    <w:uiPriority w:val="99"/>
    <w:semiHidden/>
    <w:rsid w:val="004E4418"/>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4E44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4418"/>
    <w:rPr>
      <w:rFonts w:ascii="Segoe UI" w:eastAsia="Arial" w:hAnsi="Segoe UI" w:cs="Segoe UI"/>
      <w:sz w:val="18"/>
      <w:szCs w:val="18"/>
    </w:rPr>
  </w:style>
  <w:style w:type="paragraph" w:styleId="Kopfzeile">
    <w:name w:val="header"/>
    <w:basedOn w:val="Standard"/>
    <w:link w:val="KopfzeileZchn"/>
    <w:uiPriority w:val="99"/>
    <w:unhideWhenUsed/>
    <w:rsid w:val="002236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6B8"/>
    <w:rPr>
      <w:rFonts w:ascii="Arial" w:eastAsia="Arial" w:hAnsi="Arial" w:cs="Arial"/>
      <w:sz w:val="22"/>
      <w:szCs w:val="22"/>
    </w:rPr>
  </w:style>
  <w:style w:type="paragraph" w:styleId="Fuzeile">
    <w:name w:val="footer"/>
    <w:basedOn w:val="Standard"/>
    <w:link w:val="FuzeileZchn"/>
    <w:uiPriority w:val="99"/>
    <w:unhideWhenUsed/>
    <w:rsid w:val="002236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6B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emie-schule.de/KnowHow/Chemiosmotische_Koppl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9828-2E89-4D7A-B60A-D19C6262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3383</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2022-11-29T10:47:00Z</dcterms:created>
  <dcterms:modified xsi:type="dcterms:W3CDTF">2022-12-16T13:50:00Z</dcterms:modified>
</cp:coreProperties>
</file>