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8" w:type="pct"/>
        <w:tblLayout w:type="fixed"/>
        <w:tblCellMar>
          <w:left w:w="10" w:type="dxa"/>
          <w:right w:w="10" w:type="dxa"/>
        </w:tblCellMar>
        <w:tblLook w:val="0000" w:firstRow="0" w:lastRow="0" w:firstColumn="0" w:lastColumn="0" w:noHBand="0" w:noVBand="0"/>
      </w:tblPr>
      <w:tblGrid>
        <w:gridCol w:w="7787"/>
        <w:gridCol w:w="6358"/>
        <w:gridCol w:w="43"/>
      </w:tblGrid>
      <w:tr w:rsidR="00BA42C3" w:rsidRPr="004C53DA" w14:paraId="01A7CC69" w14:textId="77777777" w:rsidTr="00780FA7">
        <w:trPr>
          <w:trHeight w:val="227"/>
          <w:tblHeader/>
        </w:trPr>
        <w:tc>
          <w:tcPr>
            <w:tcW w:w="7787"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4F29A744" w14:textId="13C1F7B9" w:rsidR="00BA42C3" w:rsidRPr="004C53DA" w:rsidRDefault="00BA42C3" w:rsidP="00401345">
            <w:pPr>
              <w:keepNext/>
              <w:widowControl w:val="0"/>
              <w:spacing w:before="160" w:after="160" w:line="240" w:lineRule="auto"/>
              <w:jc w:val="left"/>
              <w:outlineLvl w:val="1"/>
              <w:rPr>
                <w:rFonts w:eastAsia="Times New Roman"/>
                <w:b/>
                <w:color w:val="000000" w:themeColor="text1"/>
                <w:sz w:val="20"/>
                <w:lang w:eastAsia="de-DE"/>
              </w:rPr>
            </w:pPr>
            <w:r w:rsidRPr="004C53DA">
              <w:rPr>
                <w:rFonts w:eastAsia="Times New Roman"/>
                <w:b/>
                <w:color w:val="000000" w:themeColor="text1"/>
                <w:sz w:val="20"/>
                <w:lang w:eastAsia="de-DE"/>
              </w:rPr>
              <w:t xml:space="preserve">UV </w:t>
            </w:r>
            <w:r>
              <w:rPr>
                <w:rFonts w:eastAsia="Times New Roman"/>
                <w:b/>
                <w:color w:val="000000" w:themeColor="text1"/>
                <w:sz w:val="20"/>
                <w:lang w:eastAsia="de-DE"/>
              </w:rPr>
              <w:t>G</w:t>
            </w:r>
            <w:r w:rsidRPr="004C53DA">
              <w:rPr>
                <w:rFonts w:eastAsia="Times New Roman"/>
                <w:b/>
                <w:color w:val="000000" w:themeColor="text1"/>
                <w:sz w:val="20"/>
                <w:lang w:eastAsia="de-DE"/>
              </w:rPr>
              <w:t xml:space="preserve">K-S2: Glucosestoffwechsel – Energiebereitstellung aus Nährstoffen </w:t>
            </w:r>
          </w:p>
          <w:p w14:paraId="0C02C56E" w14:textId="77777777" w:rsidR="00BA42C3" w:rsidRPr="004C53DA" w:rsidRDefault="00BA42C3" w:rsidP="00401345">
            <w:pPr>
              <w:keepNext/>
              <w:spacing w:before="160" w:after="160" w:line="240" w:lineRule="auto"/>
              <w:jc w:val="left"/>
              <w:outlineLvl w:val="1"/>
              <w:rPr>
                <w:rFonts w:eastAsia="Times New Roman"/>
                <w:b/>
                <w:color w:val="000000" w:themeColor="text1"/>
                <w:sz w:val="20"/>
                <w:lang w:eastAsia="de-DE"/>
              </w:rPr>
            </w:pPr>
            <w:r w:rsidRPr="004C53DA">
              <w:rPr>
                <w:rFonts w:eastAsia="Times New Roman"/>
                <w:b/>
                <w:color w:val="000000" w:themeColor="text1"/>
                <w:sz w:val="20"/>
                <w:lang w:eastAsia="de-DE"/>
              </w:rPr>
              <w:t xml:space="preserve">Inhaltsfeld 3: Stoffwechselphysiologie </w:t>
            </w:r>
          </w:p>
          <w:p w14:paraId="615CCBC0" w14:textId="47FE0F00" w:rsidR="00BA42C3" w:rsidRPr="004C53DA" w:rsidRDefault="00BA42C3" w:rsidP="00401345">
            <w:pPr>
              <w:rPr>
                <w:color w:val="000000" w:themeColor="text1"/>
                <w:lang w:eastAsia="de-DE"/>
              </w:rPr>
            </w:pPr>
            <w:r w:rsidRPr="004C53DA">
              <w:rPr>
                <w:color w:val="000000" w:themeColor="text1"/>
                <w:sz w:val="18"/>
                <w:szCs w:val="18"/>
                <w:lang w:eastAsia="de-DE"/>
              </w:rPr>
              <w:t xml:space="preserve">Zeitbedarf: ca.  </w:t>
            </w:r>
            <w:r w:rsidR="007807E7">
              <w:rPr>
                <w:color w:val="000000" w:themeColor="text1"/>
                <w:sz w:val="18"/>
                <w:szCs w:val="18"/>
                <w:lang w:eastAsia="de-DE"/>
              </w:rPr>
              <w:t xml:space="preserve">11 </w:t>
            </w:r>
            <w:r w:rsidRPr="004C53DA">
              <w:rPr>
                <w:color w:val="000000" w:themeColor="text1"/>
                <w:sz w:val="18"/>
                <w:szCs w:val="18"/>
                <w:lang w:eastAsia="de-DE"/>
              </w:rPr>
              <w:t>Unterrichtsstunden à 45 Minuten</w:t>
            </w:r>
          </w:p>
        </w:tc>
        <w:tc>
          <w:tcPr>
            <w:tcW w:w="6358"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400166D5" w14:textId="77777777" w:rsidR="00BA42C3" w:rsidRPr="004C53DA" w:rsidRDefault="00BA42C3" w:rsidP="00401345">
            <w:pPr>
              <w:rPr>
                <w:color w:val="000000" w:themeColor="text1"/>
                <w:sz w:val="18"/>
                <w:szCs w:val="18"/>
                <w:lang w:eastAsia="de-DE"/>
              </w:rPr>
            </w:pPr>
          </w:p>
        </w:tc>
        <w:tc>
          <w:tcPr>
            <w:tcW w:w="43" w:type="dxa"/>
            <w:tcBorders>
              <w:left w:val="single" w:sz="8" w:space="0" w:color="000000"/>
            </w:tcBorders>
          </w:tcPr>
          <w:p w14:paraId="10D2CA4E" w14:textId="77777777" w:rsidR="00BA42C3" w:rsidRPr="004C53DA" w:rsidRDefault="00BA42C3" w:rsidP="00401345">
            <w:pPr>
              <w:keepNext/>
              <w:widowControl w:val="0"/>
              <w:spacing w:before="160" w:after="160" w:line="240" w:lineRule="auto"/>
              <w:jc w:val="left"/>
              <w:outlineLvl w:val="1"/>
              <w:rPr>
                <w:rFonts w:eastAsia="Times New Roman"/>
                <w:b/>
                <w:color w:val="000000" w:themeColor="text1"/>
                <w:sz w:val="20"/>
                <w:lang w:eastAsia="de-DE"/>
              </w:rPr>
            </w:pPr>
          </w:p>
        </w:tc>
      </w:tr>
      <w:tr w:rsidR="00BA42C3" w:rsidRPr="004C53DA" w14:paraId="525A6244" w14:textId="77777777" w:rsidTr="00780FA7">
        <w:trPr>
          <w:trHeight w:val="227"/>
          <w:tblHeader/>
        </w:trPr>
        <w:tc>
          <w:tcPr>
            <w:tcW w:w="7787"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1D5982DB" w14:textId="77777777" w:rsidR="00BA42C3" w:rsidRPr="004C53DA" w:rsidRDefault="00BA42C3" w:rsidP="00401345">
            <w:pPr>
              <w:keepNext/>
              <w:widowControl w:val="0"/>
              <w:spacing w:before="160" w:after="160" w:line="240" w:lineRule="auto"/>
              <w:jc w:val="left"/>
              <w:outlineLvl w:val="1"/>
              <w:rPr>
                <w:rFonts w:eastAsia="Times New Roman"/>
                <w:b/>
                <w:color w:val="000000" w:themeColor="text1"/>
                <w:sz w:val="20"/>
                <w:lang w:eastAsia="de-DE"/>
              </w:rPr>
            </w:pPr>
            <w:r w:rsidRPr="004C53DA">
              <w:rPr>
                <w:rFonts w:eastAsia="Times New Roman"/>
                <w:b/>
                <w:color w:val="000000" w:themeColor="text1"/>
                <w:sz w:val="20"/>
                <w:lang w:eastAsia="de-DE"/>
              </w:rPr>
              <w:t>Inhaltliche Schwerpunkte:</w:t>
            </w:r>
          </w:p>
          <w:p w14:paraId="0DFDD392" w14:textId="77777777" w:rsidR="00BA42C3" w:rsidRPr="004C53DA" w:rsidRDefault="00BA42C3" w:rsidP="00401345">
            <w:pPr>
              <w:spacing w:after="60" w:line="240" w:lineRule="auto"/>
              <w:jc w:val="left"/>
              <w:rPr>
                <w:rFonts w:eastAsia="Times New Roman"/>
                <w:iCs/>
                <w:color w:val="000000" w:themeColor="text1"/>
                <w:sz w:val="18"/>
                <w:szCs w:val="16"/>
                <w:lang w:eastAsia="de-DE"/>
              </w:rPr>
            </w:pPr>
            <w:r w:rsidRPr="004C53DA">
              <w:rPr>
                <w:rFonts w:eastAsia="Times New Roman"/>
                <w:iCs/>
                <w:color w:val="000000" w:themeColor="text1"/>
                <w:sz w:val="18"/>
                <w:szCs w:val="16"/>
                <w:lang w:eastAsia="de-DE"/>
              </w:rPr>
              <w:t>Grundlegende Zusammenhänge von Stoffwechselwegen</w:t>
            </w:r>
          </w:p>
        </w:tc>
        <w:tc>
          <w:tcPr>
            <w:tcW w:w="6358"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5DAA3602" w14:textId="77777777" w:rsidR="00BA42C3" w:rsidRPr="004C53DA" w:rsidRDefault="00BA42C3" w:rsidP="00401345">
            <w:pPr>
              <w:keepNext/>
              <w:widowControl w:val="0"/>
              <w:spacing w:before="160" w:after="160" w:line="240" w:lineRule="auto"/>
              <w:jc w:val="left"/>
              <w:outlineLvl w:val="1"/>
              <w:rPr>
                <w:rFonts w:eastAsia="Times New Roman"/>
                <w:b/>
                <w:color w:val="000000" w:themeColor="text1"/>
                <w:sz w:val="20"/>
                <w:lang w:eastAsia="de-DE"/>
              </w:rPr>
            </w:pPr>
            <w:r w:rsidRPr="004C53DA">
              <w:rPr>
                <w:rFonts w:eastAsia="Times New Roman"/>
                <w:b/>
                <w:color w:val="000000" w:themeColor="text1"/>
                <w:sz w:val="20"/>
                <w:lang w:eastAsia="de-DE"/>
              </w:rPr>
              <w:t>Beiträge zu den Basiskonzepten:</w:t>
            </w:r>
          </w:p>
          <w:p w14:paraId="65E6C221" w14:textId="77777777" w:rsidR="00BA42C3" w:rsidRPr="004C53DA" w:rsidRDefault="00BA42C3" w:rsidP="00401345">
            <w:pPr>
              <w:spacing w:after="60" w:line="240" w:lineRule="auto"/>
              <w:jc w:val="left"/>
              <w:rPr>
                <w:rFonts w:eastAsia="Times New Roman"/>
                <w:iCs/>
                <w:color w:val="000000" w:themeColor="text1"/>
                <w:sz w:val="18"/>
                <w:szCs w:val="16"/>
                <w:lang w:eastAsia="de-DE"/>
              </w:rPr>
            </w:pPr>
            <w:r w:rsidRPr="004C53DA">
              <w:rPr>
                <w:rFonts w:eastAsia="Times New Roman"/>
                <w:iCs/>
                <w:color w:val="000000" w:themeColor="text1"/>
                <w:sz w:val="18"/>
                <w:szCs w:val="16"/>
                <w:lang w:eastAsia="de-DE"/>
              </w:rPr>
              <w:t xml:space="preserve">Struktur und Funktion: </w:t>
            </w:r>
          </w:p>
          <w:p w14:paraId="60B25496" w14:textId="77777777" w:rsidR="00BA42C3" w:rsidRPr="00780FA7" w:rsidRDefault="00BA42C3" w:rsidP="00780FA7">
            <w:pPr>
              <w:pStyle w:val="Listenabsatz"/>
              <w:widowControl w:val="0"/>
              <w:numPr>
                <w:ilvl w:val="0"/>
                <w:numId w:val="14"/>
              </w:numPr>
              <w:spacing w:after="60" w:line="240" w:lineRule="auto"/>
              <w:ind w:left="170" w:hanging="170"/>
              <w:jc w:val="left"/>
              <w:rPr>
                <w:rFonts w:eastAsia="Times New Roman"/>
                <w:iCs/>
                <w:color w:val="000000" w:themeColor="text1"/>
                <w:sz w:val="18"/>
                <w:szCs w:val="18"/>
                <w:lang w:eastAsia="de-DE"/>
              </w:rPr>
            </w:pPr>
            <w:r w:rsidRPr="00780FA7">
              <w:rPr>
                <w:rFonts w:eastAsia="Times New Roman"/>
                <w:iCs/>
                <w:color w:val="000000" w:themeColor="text1"/>
                <w:sz w:val="18"/>
                <w:szCs w:val="18"/>
                <w:lang w:eastAsia="de-DE"/>
              </w:rPr>
              <w:t>Kompartimentierung ermöglicht gegenläufige Stoffwechselprozesse zeitgleich in einer Zelle.</w:t>
            </w:r>
          </w:p>
          <w:p w14:paraId="3463EE36" w14:textId="77777777" w:rsidR="00BA42C3" w:rsidRPr="004C53DA" w:rsidRDefault="00BA42C3" w:rsidP="00401345">
            <w:pPr>
              <w:widowControl w:val="0"/>
              <w:spacing w:after="60" w:line="240" w:lineRule="auto"/>
              <w:jc w:val="left"/>
              <w:rPr>
                <w:rFonts w:eastAsia="Times New Roman"/>
                <w:iCs/>
                <w:color w:val="000000" w:themeColor="text1"/>
                <w:sz w:val="18"/>
                <w:szCs w:val="18"/>
                <w:lang w:eastAsia="de-DE"/>
              </w:rPr>
            </w:pPr>
            <w:r w:rsidRPr="004C53DA">
              <w:rPr>
                <w:rFonts w:eastAsia="Times New Roman"/>
                <w:iCs/>
                <w:color w:val="000000" w:themeColor="text1"/>
                <w:sz w:val="18"/>
                <w:szCs w:val="18"/>
                <w:lang w:eastAsia="de-DE"/>
              </w:rPr>
              <w:t>Stoff- und Energieumwandlung:</w:t>
            </w:r>
          </w:p>
          <w:p w14:paraId="78B660C9" w14:textId="77777777" w:rsidR="00BA42C3" w:rsidRPr="00780FA7" w:rsidRDefault="00BA42C3" w:rsidP="00780FA7">
            <w:pPr>
              <w:pStyle w:val="Listenabsatz"/>
              <w:widowControl w:val="0"/>
              <w:numPr>
                <w:ilvl w:val="0"/>
                <w:numId w:val="14"/>
              </w:numPr>
              <w:spacing w:after="60" w:line="240" w:lineRule="auto"/>
              <w:ind w:left="170" w:hanging="170"/>
              <w:jc w:val="left"/>
              <w:rPr>
                <w:rFonts w:eastAsia="Times New Roman"/>
                <w:iCs/>
                <w:color w:val="000000" w:themeColor="text1"/>
                <w:sz w:val="18"/>
                <w:szCs w:val="18"/>
                <w:lang w:eastAsia="de-DE"/>
              </w:rPr>
            </w:pPr>
            <w:r w:rsidRPr="00780FA7">
              <w:rPr>
                <w:rFonts w:eastAsia="Times New Roman"/>
                <w:iCs/>
                <w:color w:val="000000" w:themeColor="text1"/>
                <w:sz w:val="18"/>
                <w:szCs w:val="18"/>
                <w:lang w:eastAsia="de-DE"/>
              </w:rPr>
              <w:t>Energetische Kopplung der Teilreaktionen von Stoffwechselprozessen</w:t>
            </w:r>
          </w:p>
          <w:p w14:paraId="07ABF0B1" w14:textId="77777777" w:rsidR="00BA42C3" w:rsidRPr="004C53DA" w:rsidRDefault="00BA42C3" w:rsidP="00401345">
            <w:pPr>
              <w:widowControl w:val="0"/>
              <w:spacing w:after="60" w:line="240" w:lineRule="auto"/>
              <w:jc w:val="left"/>
              <w:rPr>
                <w:rFonts w:eastAsia="Times New Roman"/>
                <w:iCs/>
                <w:color w:val="000000" w:themeColor="text1"/>
                <w:sz w:val="18"/>
                <w:szCs w:val="18"/>
                <w:lang w:eastAsia="de-DE"/>
              </w:rPr>
            </w:pPr>
            <w:r w:rsidRPr="004C53DA">
              <w:rPr>
                <w:rFonts w:eastAsia="Times New Roman"/>
                <w:iCs/>
                <w:color w:val="000000" w:themeColor="text1"/>
                <w:sz w:val="18"/>
                <w:szCs w:val="18"/>
                <w:lang w:eastAsia="de-DE"/>
              </w:rPr>
              <w:t>Steuerung und Regelung:</w:t>
            </w:r>
          </w:p>
          <w:p w14:paraId="6A3D588A" w14:textId="77777777" w:rsidR="00BA42C3" w:rsidRPr="00780FA7" w:rsidRDefault="00BA42C3" w:rsidP="00780FA7">
            <w:pPr>
              <w:pStyle w:val="Listenabsatz"/>
              <w:widowControl w:val="0"/>
              <w:numPr>
                <w:ilvl w:val="0"/>
                <w:numId w:val="14"/>
              </w:numPr>
              <w:spacing w:after="60" w:line="240" w:lineRule="auto"/>
              <w:ind w:left="170" w:hanging="170"/>
              <w:jc w:val="left"/>
              <w:rPr>
                <w:rFonts w:eastAsia="Times New Roman"/>
                <w:iCs/>
                <w:color w:val="000000" w:themeColor="text1"/>
                <w:sz w:val="18"/>
                <w:szCs w:val="18"/>
                <w:lang w:eastAsia="de-DE"/>
              </w:rPr>
            </w:pPr>
            <w:r w:rsidRPr="00780FA7">
              <w:rPr>
                <w:rFonts w:eastAsia="Times New Roman"/>
                <w:iCs/>
                <w:color w:val="000000" w:themeColor="text1"/>
                <w:sz w:val="18"/>
                <w:szCs w:val="18"/>
                <w:lang w:eastAsia="de-DE"/>
              </w:rPr>
              <w:t>Negative Rückkopplung in mehrstufigen Reaktionswegen des Stoffwechsels</w:t>
            </w:r>
          </w:p>
        </w:tc>
        <w:tc>
          <w:tcPr>
            <w:tcW w:w="43" w:type="dxa"/>
            <w:tcBorders>
              <w:left w:val="single" w:sz="8" w:space="0" w:color="000000"/>
            </w:tcBorders>
          </w:tcPr>
          <w:p w14:paraId="4E7AA6B6" w14:textId="77777777" w:rsidR="00BA42C3" w:rsidRPr="004C53DA" w:rsidRDefault="00BA42C3" w:rsidP="00401345">
            <w:pPr>
              <w:keepNext/>
              <w:widowControl w:val="0"/>
              <w:spacing w:before="160" w:after="160" w:line="240" w:lineRule="auto"/>
              <w:jc w:val="left"/>
              <w:outlineLvl w:val="1"/>
              <w:rPr>
                <w:rFonts w:eastAsia="Times New Roman"/>
                <w:b/>
                <w:color w:val="000000" w:themeColor="text1"/>
                <w:sz w:val="20"/>
                <w:lang w:eastAsia="de-DE"/>
              </w:rPr>
            </w:pPr>
          </w:p>
        </w:tc>
      </w:tr>
      <w:tr w:rsidR="00BA42C3" w:rsidRPr="004C53DA" w14:paraId="5AA7DDF3" w14:textId="77777777" w:rsidTr="00780FA7">
        <w:trPr>
          <w:trHeight w:val="227"/>
          <w:tblHeader/>
        </w:trPr>
        <w:tc>
          <w:tcPr>
            <w:tcW w:w="7787"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7078B5D9" w14:textId="77777777" w:rsidR="00BA42C3" w:rsidRPr="004C53DA" w:rsidRDefault="00BA42C3" w:rsidP="00401345">
            <w:pPr>
              <w:keepNext/>
              <w:widowControl w:val="0"/>
              <w:spacing w:before="160" w:after="160" w:line="240" w:lineRule="auto"/>
              <w:jc w:val="left"/>
              <w:outlineLvl w:val="1"/>
              <w:rPr>
                <w:rFonts w:eastAsia="Times New Roman"/>
                <w:b/>
                <w:bCs/>
                <w:color w:val="000000" w:themeColor="text1"/>
                <w:sz w:val="20"/>
                <w:lang w:eastAsia="de-DE"/>
              </w:rPr>
            </w:pPr>
            <w:r w:rsidRPr="004C53DA">
              <w:rPr>
                <w:rFonts w:eastAsia="Times New Roman"/>
                <w:b/>
                <w:bCs/>
                <w:color w:val="000000" w:themeColor="text1"/>
                <w:sz w:val="20"/>
                <w:lang w:eastAsia="de-DE"/>
              </w:rPr>
              <w:t xml:space="preserve">Schwerpunkte </w:t>
            </w:r>
            <w:r>
              <w:rPr>
                <w:rFonts w:eastAsia="Times New Roman"/>
                <w:b/>
                <w:bCs/>
                <w:color w:val="000000" w:themeColor="text1"/>
                <w:sz w:val="20"/>
                <w:lang w:eastAsia="de-DE"/>
              </w:rPr>
              <w:t>der Kompetenzbereiche</w:t>
            </w:r>
            <w:r w:rsidRPr="004C53DA">
              <w:rPr>
                <w:rFonts w:eastAsia="Times New Roman"/>
                <w:b/>
                <w:bCs/>
                <w:color w:val="000000" w:themeColor="text1"/>
                <w:sz w:val="20"/>
                <w:lang w:eastAsia="de-DE"/>
              </w:rPr>
              <w:t>:</w:t>
            </w:r>
          </w:p>
          <w:p w14:paraId="61E53C4B" w14:textId="5D79FBE3" w:rsidR="00BA42C3" w:rsidRDefault="00BA42C3" w:rsidP="00401345">
            <w:pPr>
              <w:widowControl w:val="0"/>
              <w:numPr>
                <w:ilvl w:val="0"/>
                <w:numId w:val="1"/>
              </w:numPr>
              <w:adjustRightInd w:val="0"/>
              <w:spacing w:after="60" w:line="240" w:lineRule="auto"/>
              <w:ind w:left="170" w:hanging="170"/>
              <w:jc w:val="left"/>
              <w:rPr>
                <w:color w:val="000000" w:themeColor="text1"/>
                <w:sz w:val="18"/>
                <w:szCs w:val="18"/>
                <w:lang w:eastAsia="de-DE"/>
              </w:rPr>
            </w:pPr>
            <w:r>
              <w:rPr>
                <w:color w:val="000000" w:themeColor="text1"/>
                <w:sz w:val="18"/>
                <w:szCs w:val="18"/>
                <w:lang w:eastAsia="de-DE"/>
              </w:rPr>
              <w:t>Zusammenhänge in lebenden Systemen betrachten (S)</w:t>
            </w:r>
          </w:p>
          <w:p w14:paraId="04B8F750" w14:textId="77777777" w:rsidR="00BA42C3" w:rsidRPr="007807E7" w:rsidRDefault="00BA42C3" w:rsidP="007807E7">
            <w:pPr>
              <w:widowControl w:val="0"/>
              <w:numPr>
                <w:ilvl w:val="0"/>
                <w:numId w:val="1"/>
              </w:numPr>
              <w:adjustRightInd w:val="0"/>
              <w:spacing w:after="60" w:line="240" w:lineRule="auto"/>
              <w:ind w:left="170" w:hanging="170"/>
              <w:jc w:val="left"/>
              <w:rPr>
                <w:color w:val="000000" w:themeColor="text1"/>
                <w:sz w:val="18"/>
                <w:szCs w:val="18"/>
                <w:lang w:eastAsia="de-DE"/>
              </w:rPr>
            </w:pPr>
            <w:r w:rsidRPr="007807E7">
              <w:rPr>
                <w:color w:val="000000" w:themeColor="text1"/>
                <w:sz w:val="18"/>
                <w:szCs w:val="18"/>
                <w:lang w:eastAsia="de-DE"/>
              </w:rPr>
              <w:t>Informationen erschließen (K)</w:t>
            </w:r>
          </w:p>
          <w:p w14:paraId="454F514F" w14:textId="46F465C5" w:rsidR="007807E7" w:rsidRPr="00BA42C3" w:rsidRDefault="007807E7" w:rsidP="00BA42C3">
            <w:pPr>
              <w:widowControl w:val="0"/>
              <w:numPr>
                <w:ilvl w:val="0"/>
                <w:numId w:val="1"/>
              </w:numPr>
              <w:adjustRightInd w:val="0"/>
              <w:spacing w:after="60" w:line="240" w:lineRule="auto"/>
              <w:ind w:left="170" w:hanging="170"/>
              <w:jc w:val="left"/>
              <w:rPr>
                <w:color w:val="000000" w:themeColor="text1"/>
                <w:sz w:val="18"/>
                <w:szCs w:val="18"/>
                <w:lang w:eastAsia="de-DE"/>
              </w:rPr>
            </w:pPr>
            <w:r>
              <w:rPr>
                <w:color w:val="000000" w:themeColor="text1"/>
                <w:sz w:val="18"/>
                <w:szCs w:val="18"/>
                <w:lang w:eastAsia="de-DE"/>
              </w:rPr>
              <w:t>Kriteriengeleitet Meinungen bilden und Entscheidungen treffen (B)</w:t>
            </w:r>
          </w:p>
        </w:tc>
        <w:tc>
          <w:tcPr>
            <w:tcW w:w="6358"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0EEF0D48" w14:textId="77777777" w:rsidR="00BA42C3" w:rsidRPr="004C53DA" w:rsidRDefault="00BA42C3" w:rsidP="00401345">
            <w:pPr>
              <w:spacing w:after="0" w:line="240" w:lineRule="auto"/>
              <w:rPr>
                <w:color w:val="000000" w:themeColor="text1"/>
                <w:lang w:eastAsia="de-DE"/>
              </w:rPr>
            </w:pPr>
          </w:p>
        </w:tc>
        <w:tc>
          <w:tcPr>
            <w:tcW w:w="43" w:type="dxa"/>
            <w:tcBorders>
              <w:left w:val="single" w:sz="8" w:space="0" w:color="000000"/>
            </w:tcBorders>
          </w:tcPr>
          <w:p w14:paraId="03DD44DF" w14:textId="77777777" w:rsidR="00BA42C3" w:rsidRPr="004C53DA" w:rsidRDefault="00BA42C3" w:rsidP="00401345">
            <w:pPr>
              <w:keepNext/>
              <w:widowControl w:val="0"/>
              <w:spacing w:before="160" w:after="160" w:line="240" w:lineRule="auto"/>
              <w:jc w:val="left"/>
              <w:outlineLvl w:val="1"/>
              <w:rPr>
                <w:rFonts w:eastAsia="Times New Roman"/>
                <w:b/>
                <w:color w:val="000000" w:themeColor="text1"/>
                <w:sz w:val="20"/>
                <w:lang w:eastAsia="de-DE"/>
              </w:rPr>
            </w:pPr>
          </w:p>
        </w:tc>
      </w:tr>
    </w:tbl>
    <w:p w14:paraId="74FAA34B" w14:textId="77777777" w:rsidR="00BA42C3" w:rsidRPr="004C53DA" w:rsidRDefault="00BA42C3" w:rsidP="00947F92">
      <w:pPr>
        <w:rPr>
          <w:lang w:eastAsia="de-DE"/>
        </w:rPr>
      </w:pPr>
    </w:p>
    <w:tbl>
      <w:tblPr>
        <w:tblW w:w="4967" w:type="pct"/>
        <w:tblInd w:w="-10" w:type="dxa"/>
        <w:tblLayout w:type="fixed"/>
        <w:tblCellMar>
          <w:left w:w="57" w:type="dxa"/>
          <w:right w:w="57" w:type="dxa"/>
        </w:tblCellMar>
        <w:tblLook w:val="0020" w:firstRow="1" w:lastRow="0" w:firstColumn="0" w:lastColumn="0" w:noHBand="0" w:noVBand="0"/>
      </w:tblPr>
      <w:tblGrid>
        <w:gridCol w:w="1807"/>
        <w:gridCol w:w="3296"/>
        <w:gridCol w:w="2267"/>
        <w:gridCol w:w="6805"/>
      </w:tblGrid>
      <w:tr w:rsidR="00BA42C3" w:rsidRPr="004C53DA" w14:paraId="39B2E8A1" w14:textId="77777777" w:rsidTr="007175C3">
        <w:trPr>
          <w:trHeight w:val="227"/>
          <w:tblHeader/>
        </w:trPr>
        <w:tc>
          <w:tcPr>
            <w:tcW w:w="1807"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E57634A" w14:textId="77777777" w:rsidR="00BA42C3" w:rsidRPr="004C53DA" w:rsidRDefault="00BA42C3" w:rsidP="00401345">
            <w:pPr>
              <w:widowControl w:val="0"/>
              <w:numPr>
                <w:ilvl w:val="0"/>
                <w:numId w:val="3"/>
              </w:numPr>
              <w:spacing w:after="60" w:line="240" w:lineRule="auto"/>
              <w:ind w:left="170" w:hanging="170"/>
              <w:jc w:val="left"/>
              <w:rPr>
                <w:rFonts w:eastAsia="Times New Roman"/>
                <w:iCs/>
                <w:sz w:val="18"/>
                <w:szCs w:val="18"/>
                <w:lang w:eastAsia="de-DE"/>
              </w:rPr>
            </w:pPr>
            <w:r w:rsidRPr="004C53DA">
              <w:rPr>
                <w:rFonts w:eastAsia="Times New Roman"/>
                <w:iCs/>
                <w:sz w:val="18"/>
                <w:szCs w:val="18"/>
                <w:lang w:eastAsia="de-DE"/>
              </w:rPr>
              <w:lastRenderedPageBreak/>
              <w:t xml:space="preserve">Inhaltliche </w:t>
            </w:r>
            <w:r w:rsidRPr="004C53DA">
              <w:rPr>
                <w:rFonts w:eastAsiaTheme="majorEastAsia"/>
                <w:iCs/>
                <w:color w:val="000000" w:themeColor="text1"/>
                <w:sz w:val="18"/>
                <w:szCs w:val="18"/>
                <w:lang w:eastAsia="de-DE"/>
              </w:rPr>
              <w:t>Aspekte</w:t>
            </w:r>
          </w:p>
        </w:tc>
        <w:tc>
          <w:tcPr>
            <w:tcW w:w="3296"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0988EF38" w14:textId="77777777" w:rsidR="00BA42C3" w:rsidRPr="004C53DA" w:rsidRDefault="00BA42C3" w:rsidP="00401345">
            <w:pPr>
              <w:widowControl w:val="0"/>
              <w:suppressAutoHyphens/>
              <w:spacing w:before="60" w:after="60" w:line="240" w:lineRule="auto"/>
              <w:jc w:val="left"/>
              <w:outlineLvl w:val="2"/>
              <w:rPr>
                <w:rFonts w:eastAsia="Times New Roman"/>
                <w:bCs/>
                <w:sz w:val="18"/>
                <w:szCs w:val="20"/>
                <w:lang w:eastAsia="de-DE"/>
              </w:rPr>
            </w:pPr>
            <w:r w:rsidRPr="004C53DA">
              <w:rPr>
                <w:rFonts w:eastAsia="Times New Roman"/>
                <w:bCs/>
                <w:sz w:val="18"/>
                <w:szCs w:val="20"/>
                <w:lang w:eastAsia="de-DE"/>
              </w:rPr>
              <w:t>Konkretisierte Kompetenzerwartungen</w:t>
            </w:r>
          </w:p>
          <w:p w14:paraId="654DE8F2" w14:textId="77777777" w:rsidR="00BA42C3" w:rsidRPr="004C53DA" w:rsidRDefault="00BA42C3" w:rsidP="00401345">
            <w:pPr>
              <w:widowControl w:val="0"/>
              <w:suppressAutoHyphens/>
              <w:spacing w:before="60" w:after="60" w:line="240" w:lineRule="auto"/>
              <w:jc w:val="left"/>
              <w:outlineLvl w:val="2"/>
              <w:rPr>
                <w:rFonts w:eastAsia="Times New Roman"/>
                <w:bCs/>
                <w:sz w:val="18"/>
                <w:szCs w:val="20"/>
                <w:lang w:eastAsia="de-DE"/>
              </w:rPr>
            </w:pPr>
            <w:r w:rsidRPr="004C53DA">
              <w:rPr>
                <w:rFonts w:eastAsia="Times New Roman"/>
                <w:bCs/>
                <w:sz w:val="18"/>
                <w:szCs w:val="20"/>
                <w:lang w:eastAsia="de-DE"/>
              </w:rPr>
              <w:t>Schülerinnen und Schüler…</w:t>
            </w:r>
          </w:p>
        </w:tc>
        <w:tc>
          <w:tcPr>
            <w:tcW w:w="2267"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78EE6F31" w14:textId="77777777" w:rsidR="00BA42C3" w:rsidRPr="004C53DA" w:rsidRDefault="00BA42C3" w:rsidP="00401345">
            <w:pPr>
              <w:widowControl w:val="0"/>
              <w:spacing w:after="80" w:line="240" w:lineRule="auto"/>
              <w:jc w:val="left"/>
              <w:rPr>
                <w:rFonts w:eastAsia="Times New Roman"/>
                <w:i/>
                <w:iCs/>
                <w:sz w:val="18"/>
                <w:szCs w:val="18"/>
                <w:lang w:eastAsia="de-DE"/>
              </w:rPr>
            </w:pPr>
            <w:r w:rsidRPr="004C53DA">
              <w:rPr>
                <w:rFonts w:eastAsia="Times New Roman"/>
                <w:i/>
                <w:iCs/>
                <w:sz w:val="18"/>
                <w:szCs w:val="18"/>
                <w:lang w:eastAsia="de-DE"/>
              </w:rPr>
              <w:t xml:space="preserve">Sequenzierung: Leitfragen </w:t>
            </w:r>
          </w:p>
        </w:tc>
        <w:tc>
          <w:tcPr>
            <w:tcW w:w="6805" w:type="dxa"/>
            <w:tcBorders>
              <w:top w:val="single" w:sz="8" w:space="0" w:color="000000"/>
              <w:left w:val="single" w:sz="4" w:space="0" w:color="000000"/>
              <w:bottom w:val="single" w:sz="8" w:space="0" w:color="000000"/>
              <w:right w:val="single" w:sz="8" w:space="0" w:color="000000"/>
            </w:tcBorders>
            <w:shd w:val="clear" w:color="auto" w:fill="D9D9D9"/>
          </w:tcPr>
          <w:p w14:paraId="40C90CA2" w14:textId="3FB5D91E" w:rsidR="00BA42C3" w:rsidRDefault="00BA42C3" w:rsidP="00401345">
            <w:pPr>
              <w:widowControl w:val="0"/>
              <w:spacing w:after="80" w:line="240" w:lineRule="auto"/>
              <w:jc w:val="left"/>
              <w:rPr>
                <w:b/>
                <w:bCs/>
                <w:sz w:val="18"/>
                <w:szCs w:val="20"/>
              </w:rPr>
            </w:pPr>
          </w:p>
          <w:p w14:paraId="7BF679FD" w14:textId="77777777" w:rsidR="00BA42C3" w:rsidRPr="00DE5F3F" w:rsidRDefault="00BA42C3" w:rsidP="00401345">
            <w:pPr>
              <w:widowControl w:val="0"/>
              <w:spacing w:after="80" w:line="240" w:lineRule="auto"/>
              <w:jc w:val="left"/>
              <w:rPr>
                <w:b/>
                <w:bCs/>
                <w:sz w:val="18"/>
                <w:szCs w:val="20"/>
              </w:rPr>
            </w:pPr>
            <w:r>
              <w:rPr>
                <w:b/>
                <w:bCs/>
                <w:sz w:val="18"/>
                <w:szCs w:val="20"/>
              </w:rPr>
              <w:t>Didaktisch-methodische Anmerkungen und Empfehlungen</w:t>
            </w:r>
          </w:p>
        </w:tc>
      </w:tr>
      <w:tr w:rsidR="00BA42C3" w:rsidRPr="004C53DA" w14:paraId="374BA20B" w14:textId="77777777" w:rsidTr="00780FA7">
        <w:trPr>
          <w:cantSplit/>
          <w:trHeight w:val="20"/>
        </w:trPr>
        <w:tc>
          <w:tcPr>
            <w:tcW w:w="1807" w:type="dxa"/>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1F933CEF" w14:textId="77777777" w:rsidR="00BA42C3" w:rsidRPr="004C53DA" w:rsidRDefault="00BA42C3" w:rsidP="00401345">
            <w:pPr>
              <w:widowControl w:val="0"/>
              <w:numPr>
                <w:ilvl w:val="0"/>
                <w:numId w:val="3"/>
              </w:numPr>
              <w:spacing w:after="60" w:line="240" w:lineRule="auto"/>
              <w:ind w:left="170" w:hanging="170"/>
              <w:jc w:val="left"/>
              <w:rPr>
                <w:rFonts w:eastAsia="Times New Roman"/>
                <w:iCs/>
                <w:sz w:val="18"/>
                <w:szCs w:val="18"/>
                <w:lang w:eastAsia="de-DE"/>
              </w:rPr>
            </w:pPr>
            <w:proofErr w:type="spellStart"/>
            <w:r w:rsidRPr="004C53DA">
              <w:rPr>
                <w:rFonts w:eastAsia="Times New Roman"/>
                <w:iCs/>
                <w:sz w:val="18"/>
                <w:szCs w:val="18"/>
                <w:lang w:eastAsia="de-DE"/>
              </w:rPr>
              <w:t>Feinbau</w:t>
            </w:r>
            <w:proofErr w:type="spellEnd"/>
            <w:r w:rsidRPr="004C53DA">
              <w:rPr>
                <w:rFonts w:eastAsia="Times New Roman"/>
                <w:iCs/>
                <w:sz w:val="18"/>
                <w:szCs w:val="18"/>
                <w:lang w:eastAsia="de-DE"/>
              </w:rPr>
              <w:t xml:space="preserve"> Mitochondrium</w:t>
            </w:r>
          </w:p>
          <w:p w14:paraId="6E956B7F" w14:textId="77777777" w:rsidR="00BA42C3" w:rsidRPr="004C53DA" w:rsidRDefault="00BA42C3" w:rsidP="00401345">
            <w:pPr>
              <w:widowControl w:val="0"/>
              <w:numPr>
                <w:ilvl w:val="0"/>
                <w:numId w:val="3"/>
              </w:numPr>
              <w:spacing w:after="60" w:line="240" w:lineRule="auto"/>
              <w:ind w:left="170" w:hanging="170"/>
              <w:jc w:val="left"/>
              <w:rPr>
                <w:rFonts w:eastAsia="Times New Roman"/>
                <w:iCs/>
                <w:sz w:val="18"/>
                <w:szCs w:val="18"/>
                <w:lang w:eastAsia="de-DE"/>
              </w:rPr>
            </w:pPr>
            <w:r w:rsidRPr="004C53DA">
              <w:rPr>
                <w:rFonts w:eastAsia="Times New Roman"/>
                <w:iCs/>
                <w:sz w:val="18"/>
                <w:szCs w:val="18"/>
                <w:lang w:eastAsia="de-DE"/>
              </w:rPr>
              <w:t xml:space="preserve">Stoff- und Energiebilanz von Glykolyse, oxidative </w:t>
            </w:r>
            <w:r w:rsidRPr="004C53DA">
              <w:rPr>
                <w:rFonts w:eastAsiaTheme="majorEastAsia"/>
                <w:iCs/>
                <w:color w:val="000000" w:themeColor="text1"/>
                <w:sz w:val="18"/>
                <w:szCs w:val="18"/>
                <w:lang w:eastAsia="de-DE"/>
              </w:rPr>
              <w:t>Decarboxylierung</w:t>
            </w:r>
            <w:r w:rsidRPr="004C53DA">
              <w:rPr>
                <w:rFonts w:eastAsia="Times New Roman"/>
                <w:iCs/>
                <w:sz w:val="18"/>
                <w:szCs w:val="18"/>
                <w:lang w:eastAsia="de-DE"/>
              </w:rPr>
              <w:t xml:space="preserve">, </w:t>
            </w:r>
            <w:proofErr w:type="spellStart"/>
            <w:r w:rsidRPr="004C53DA">
              <w:rPr>
                <w:rFonts w:eastAsia="Times New Roman"/>
                <w:iCs/>
                <w:sz w:val="18"/>
                <w:szCs w:val="18"/>
                <w:lang w:eastAsia="de-DE"/>
              </w:rPr>
              <w:t>Tricarbonsäure</w:t>
            </w:r>
            <w:proofErr w:type="spellEnd"/>
            <w:r w:rsidRPr="004C53DA">
              <w:rPr>
                <w:rFonts w:eastAsia="Times New Roman"/>
                <w:iCs/>
                <w:sz w:val="18"/>
                <w:szCs w:val="18"/>
                <w:lang w:eastAsia="de-DE"/>
              </w:rPr>
              <w:t xml:space="preserve">-zyklus und Atmungskette </w:t>
            </w:r>
          </w:p>
          <w:p w14:paraId="2DA498B8" w14:textId="77777777" w:rsidR="00BA42C3" w:rsidRPr="004C53DA" w:rsidRDefault="00BA42C3" w:rsidP="00401345">
            <w:pPr>
              <w:widowControl w:val="0"/>
              <w:numPr>
                <w:ilvl w:val="0"/>
                <w:numId w:val="3"/>
              </w:numPr>
              <w:spacing w:after="60" w:line="240" w:lineRule="auto"/>
              <w:ind w:left="170" w:hanging="170"/>
              <w:jc w:val="left"/>
              <w:rPr>
                <w:rFonts w:eastAsia="Times New Roman"/>
                <w:iCs/>
                <w:color w:val="000000" w:themeColor="text1"/>
                <w:sz w:val="18"/>
                <w:szCs w:val="18"/>
                <w:lang w:eastAsia="de-DE"/>
              </w:rPr>
            </w:pPr>
            <w:r w:rsidRPr="004C53DA">
              <w:rPr>
                <w:rFonts w:eastAsiaTheme="majorEastAsia"/>
                <w:iCs/>
                <w:color w:val="000000" w:themeColor="text1"/>
                <w:sz w:val="18"/>
                <w:szCs w:val="18"/>
                <w:lang w:eastAsia="de-DE"/>
              </w:rPr>
              <w:t>Redoxreaktionen</w:t>
            </w:r>
          </w:p>
        </w:tc>
        <w:tc>
          <w:tcPr>
            <w:tcW w:w="3296"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2079716C" w14:textId="2B73F3DB" w:rsidR="00BA42C3" w:rsidRPr="00BA42C3" w:rsidRDefault="00BA42C3" w:rsidP="00BA42C3">
            <w:pPr>
              <w:widowControl w:val="0"/>
              <w:numPr>
                <w:ilvl w:val="0"/>
                <w:numId w:val="3"/>
              </w:numPr>
              <w:spacing w:after="60" w:line="240" w:lineRule="auto"/>
              <w:ind w:left="170" w:hanging="170"/>
              <w:jc w:val="left"/>
              <w:rPr>
                <w:rFonts w:eastAsia="Times New Roman"/>
                <w:iCs/>
                <w:sz w:val="18"/>
                <w:szCs w:val="18"/>
                <w:lang w:eastAsia="de-DE"/>
              </w:rPr>
            </w:pPr>
            <w:r w:rsidRPr="004C53DA">
              <w:rPr>
                <w:rFonts w:eastAsia="Times New Roman"/>
                <w:iCs/>
                <w:sz w:val="18"/>
                <w:szCs w:val="18"/>
                <w:lang w:eastAsia="de-DE"/>
              </w:rPr>
              <w:t xml:space="preserve">stellen die wesentlichen Schritte des </w:t>
            </w:r>
            <w:r w:rsidRPr="004C53DA">
              <w:rPr>
                <w:rFonts w:eastAsiaTheme="majorEastAsia"/>
                <w:iCs/>
                <w:color w:val="000000" w:themeColor="text1"/>
                <w:sz w:val="18"/>
                <w:szCs w:val="18"/>
                <w:lang w:eastAsia="de-DE"/>
              </w:rPr>
              <w:t>abbauenden</w:t>
            </w:r>
            <w:r w:rsidRPr="004C53DA">
              <w:rPr>
                <w:rFonts w:eastAsia="Times New Roman"/>
                <w:iCs/>
                <w:sz w:val="18"/>
                <w:szCs w:val="18"/>
                <w:lang w:eastAsia="de-DE"/>
              </w:rPr>
              <w:t xml:space="preserve"> Glucosestoffwechsels </w:t>
            </w:r>
            <w:r w:rsidRPr="004C53DA">
              <w:rPr>
                <w:rFonts w:eastAsia="Times New Roman" w:cs="Times New Roman"/>
                <w:iCs/>
                <w:color w:val="000000"/>
                <w:sz w:val="18"/>
                <w:szCs w:val="13"/>
                <w:lang w:eastAsia="de-DE"/>
              </w:rPr>
              <w:t>unter aeroben Bedingungen</w:t>
            </w:r>
            <w:r w:rsidRPr="004C53DA">
              <w:rPr>
                <w:rFonts w:eastAsia="Times New Roman"/>
                <w:iCs/>
                <w:sz w:val="18"/>
                <w:szCs w:val="18"/>
                <w:lang w:eastAsia="de-DE"/>
              </w:rPr>
              <w:t xml:space="preserve"> dar und erläutern diese hinsichtlich der Stoff- und Energieumwandlung (S1, S7, K9)</w:t>
            </w:r>
            <w:r w:rsidR="00780FA7">
              <w:rPr>
                <w:rFonts w:eastAsia="Times New Roman"/>
                <w:iCs/>
                <w:sz w:val="18"/>
                <w:szCs w:val="18"/>
                <w:lang w:eastAsia="de-DE"/>
              </w:rPr>
              <w:t>.</w:t>
            </w:r>
          </w:p>
        </w:tc>
        <w:tc>
          <w:tcPr>
            <w:tcW w:w="2267"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6E010F67" w14:textId="77777777" w:rsidR="00BA42C3" w:rsidRPr="005B5A92" w:rsidRDefault="00BA42C3" w:rsidP="00401345">
            <w:pPr>
              <w:widowControl w:val="0"/>
              <w:spacing w:after="80" w:line="240" w:lineRule="auto"/>
              <w:jc w:val="left"/>
              <w:rPr>
                <w:rFonts w:eastAsia="Times New Roman"/>
                <w:b/>
                <w:bCs/>
                <w:iCs/>
                <w:sz w:val="18"/>
                <w:szCs w:val="18"/>
                <w:lang w:eastAsia="de-DE"/>
              </w:rPr>
            </w:pPr>
            <w:r w:rsidRPr="005B5A92">
              <w:rPr>
                <w:rFonts w:eastAsia="Times New Roman"/>
                <w:b/>
                <w:bCs/>
                <w:i/>
                <w:iCs/>
                <w:color w:val="000000" w:themeColor="text1"/>
                <w:sz w:val="18"/>
                <w:szCs w:val="18"/>
                <w:lang w:eastAsia="de-DE"/>
              </w:rPr>
              <w:t>Wie kann die Zelle durch den schrittweisen Abbau von Glucose nutzbare Energie bereitstellen?</w:t>
            </w:r>
            <w:r w:rsidRPr="005B5A92">
              <w:rPr>
                <w:rFonts w:eastAsia="Times New Roman"/>
                <w:b/>
                <w:bCs/>
                <w:iCs/>
                <w:sz w:val="18"/>
                <w:szCs w:val="18"/>
                <w:lang w:eastAsia="de-DE"/>
              </w:rPr>
              <w:t xml:space="preserve"> </w:t>
            </w:r>
          </w:p>
          <w:p w14:paraId="39B8D416" w14:textId="32631C90" w:rsidR="00BA42C3" w:rsidRPr="004C53DA" w:rsidRDefault="00BA42C3" w:rsidP="00401345">
            <w:pPr>
              <w:widowControl w:val="0"/>
              <w:spacing w:after="80" w:line="240" w:lineRule="auto"/>
              <w:jc w:val="left"/>
              <w:rPr>
                <w:rFonts w:eastAsia="Times New Roman"/>
                <w:i/>
                <w:iCs/>
                <w:sz w:val="18"/>
                <w:szCs w:val="18"/>
                <w:lang w:eastAsia="de-DE"/>
              </w:rPr>
            </w:pPr>
            <w:r w:rsidRPr="004C53DA">
              <w:rPr>
                <w:rFonts w:eastAsia="Times New Roman"/>
                <w:iCs/>
                <w:sz w:val="18"/>
                <w:szCs w:val="18"/>
                <w:lang w:eastAsia="de-DE"/>
              </w:rPr>
              <w:t xml:space="preserve">(ca. </w:t>
            </w:r>
            <w:r w:rsidR="00780FA7">
              <w:rPr>
                <w:rFonts w:eastAsia="Times New Roman"/>
                <w:iCs/>
                <w:sz w:val="18"/>
                <w:szCs w:val="18"/>
                <w:lang w:eastAsia="de-DE"/>
              </w:rPr>
              <w:t>6</w:t>
            </w:r>
            <w:r w:rsidRPr="004C53DA">
              <w:rPr>
                <w:rFonts w:eastAsia="Times New Roman"/>
                <w:iCs/>
                <w:sz w:val="18"/>
                <w:szCs w:val="18"/>
                <w:lang w:eastAsia="de-DE"/>
              </w:rPr>
              <w:t xml:space="preserve"> Ustd.)</w:t>
            </w:r>
          </w:p>
        </w:tc>
        <w:tc>
          <w:tcPr>
            <w:tcW w:w="6805" w:type="dxa"/>
            <w:tcBorders>
              <w:top w:val="single" w:sz="8" w:space="0" w:color="000000"/>
              <w:left w:val="single" w:sz="4" w:space="0" w:color="000000"/>
              <w:right w:val="single" w:sz="8" w:space="0" w:color="000000"/>
            </w:tcBorders>
          </w:tcPr>
          <w:p w14:paraId="02AD189A" w14:textId="77777777" w:rsidR="00BA42C3" w:rsidRPr="00E32962" w:rsidRDefault="00BA42C3" w:rsidP="00401345">
            <w:pPr>
              <w:pStyle w:val="UVuListe"/>
              <w:numPr>
                <w:ilvl w:val="0"/>
                <w:numId w:val="0"/>
              </w:numPr>
              <w:rPr>
                <w:i/>
                <w:iCs w:val="0"/>
                <w:color w:val="000000" w:themeColor="text1"/>
              </w:rPr>
            </w:pPr>
            <w:r w:rsidRPr="00E32962">
              <w:rPr>
                <w:i/>
                <w:iCs w:val="0"/>
                <w:color w:val="000000" w:themeColor="text1"/>
              </w:rPr>
              <w:t>Kontext:</w:t>
            </w:r>
          </w:p>
          <w:p w14:paraId="7E955EDA" w14:textId="075C2C8B" w:rsidR="007807E7" w:rsidRPr="007807E7" w:rsidRDefault="00BA42C3" w:rsidP="007807E7">
            <w:pPr>
              <w:pStyle w:val="UVGrundtext"/>
              <w:widowControl w:val="0"/>
              <w:rPr>
                <w:b/>
                <w:bCs/>
                <w:color w:val="000000" w:themeColor="text1"/>
              </w:rPr>
            </w:pPr>
            <w:r w:rsidRPr="00EC07C6">
              <w:rPr>
                <w:b/>
                <w:bCs/>
                <w:color w:val="000000" w:themeColor="text1"/>
              </w:rPr>
              <w:t xml:space="preserve">Keine Power ohne Nahrung </w:t>
            </w:r>
            <w:r w:rsidR="00780FA7">
              <w:rPr>
                <w:b/>
                <w:bCs/>
                <w:color w:val="000000" w:themeColor="text1"/>
              </w:rPr>
              <w:t>–</w:t>
            </w:r>
            <w:r w:rsidRPr="00EC07C6">
              <w:rPr>
                <w:b/>
                <w:bCs/>
                <w:color w:val="000000" w:themeColor="text1"/>
              </w:rPr>
              <w:t xml:space="preserve"> Bei heterotrophen Organismen ist die ATP-Synthese an die Oxidation von Nährstoffmolekülen gekoppelt.</w:t>
            </w:r>
            <w:r w:rsidR="00C45499">
              <w:rPr>
                <w:b/>
                <w:bCs/>
                <w:color w:val="000000" w:themeColor="text1"/>
              </w:rPr>
              <w:t xml:space="preserve"> [1]</w:t>
            </w:r>
          </w:p>
          <w:p w14:paraId="2C3C7D21" w14:textId="77777777" w:rsidR="00BA42C3" w:rsidRPr="00E32962" w:rsidRDefault="00BA42C3" w:rsidP="00401345">
            <w:pPr>
              <w:pStyle w:val="UVuListe"/>
              <w:numPr>
                <w:ilvl w:val="0"/>
                <w:numId w:val="0"/>
              </w:numPr>
              <w:rPr>
                <w:i/>
                <w:iCs w:val="0"/>
                <w:color w:val="000000" w:themeColor="text1"/>
              </w:rPr>
            </w:pPr>
            <w:r>
              <w:rPr>
                <w:i/>
                <w:iCs w:val="0"/>
                <w:color w:val="000000" w:themeColor="text1"/>
              </w:rPr>
              <w:t>Zentrale Unterrichtssituationen:</w:t>
            </w:r>
          </w:p>
          <w:p w14:paraId="27992206" w14:textId="25726E50" w:rsidR="00BA42C3" w:rsidRDefault="00BA42C3" w:rsidP="00401345">
            <w:pPr>
              <w:pStyle w:val="UVuListe"/>
              <w:numPr>
                <w:ilvl w:val="0"/>
                <w:numId w:val="6"/>
              </w:numPr>
              <w:ind w:left="170" w:hanging="170"/>
              <w:rPr>
                <w:color w:val="000000" w:themeColor="text1"/>
              </w:rPr>
            </w:pPr>
            <w:r>
              <w:rPr>
                <w:color w:val="000000" w:themeColor="text1"/>
              </w:rPr>
              <w:t xml:space="preserve">Reaktivierung des Vorwissens zum </w:t>
            </w:r>
            <w:proofErr w:type="spellStart"/>
            <w:r>
              <w:rPr>
                <w:color w:val="000000" w:themeColor="text1"/>
              </w:rPr>
              <w:t>Feinbau</w:t>
            </w:r>
            <w:proofErr w:type="spellEnd"/>
            <w:r>
              <w:rPr>
                <w:color w:val="000000" w:themeColor="text1"/>
              </w:rPr>
              <w:t xml:space="preserve"> von Mitochondrien und Skizze eines Schaubildes mit den wesentlichen Schritten der Zellatmung und deren Verortung in Zellkompartimenten</w:t>
            </w:r>
            <w:r w:rsidR="00780FA7">
              <w:rPr>
                <w:color w:val="000000" w:themeColor="text1"/>
              </w:rPr>
              <w:t>,</w:t>
            </w:r>
            <w:r>
              <w:rPr>
                <w:color w:val="000000" w:themeColor="text1"/>
              </w:rPr>
              <w:t xml:space="preserve"> </w:t>
            </w:r>
            <w:r w:rsidR="00780FA7">
              <w:rPr>
                <w:color w:val="000000" w:themeColor="text1"/>
              </w:rPr>
              <w:t>s</w:t>
            </w:r>
            <w:r>
              <w:rPr>
                <w:color w:val="000000" w:themeColor="text1"/>
              </w:rPr>
              <w:t>ukzessive Ergänzung des Schaubildes im Verlauf des Unterrichts</w:t>
            </w:r>
            <w:r w:rsidR="002577DF">
              <w:rPr>
                <w:color w:val="000000" w:themeColor="text1"/>
              </w:rPr>
              <w:t xml:space="preserve"> (K9)</w:t>
            </w:r>
          </w:p>
          <w:p w14:paraId="38BAFB26" w14:textId="31FEB06E" w:rsidR="00BA42C3" w:rsidRDefault="00BA42C3" w:rsidP="00401345">
            <w:pPr>
              <w:pStyle w:val="UVuListe"/>
              <w:numPr>
                <w:ilvl w:val="0"/>
                <w:numId w:val="6"/>
              </w:numPr>
              <w:ind w:left="170" w:hanging="170"/>
              <w:rPr>
                <w:color w:val="000000" w:themeColor="text1"/>
              </w:rPr>
            </w:pPr>
            <w:r w:rsidRPr="003E0989">
              <w:rPr>
                <w:color w:val="000000" w:themeColor="text1"/>
              </w:rPr>
              <w:t xml:space="preserve">Beschreibung </w:t>
            </w:r>
            <w:r>
              <w:rPr>
                <w:color w:val="000000" w:themeColor="text1"/>
              </w:rPr>
              <w:t xml:space="preserve">der Glykolyse als ersten Schritt des </w:t>
            </w:r>
            <w:proofErr w:type="spellStart"/>
            <w:r>
              <w:rPr>
                <w:color w:val="000000" w:themeColor="text1"/>
              </w:rPr>
              <w:t>Glucoseabbaus</w:t>
            </w:r>
            <w:proofErr w:type="spellEnd"/>
            <w:r w:rsidRPr="003E0989">
              <w:rPr>
                <w:color w:val="000000" w:themeColor="text1"/>
              </w:rPr>
              <w:t>, dabei</w:t>
            </w:r>
            <w:r>
              <w:rPr>
                <w:color w:val="000000" w:themeColor="text1"/>
              </w:rPr>
              <w:t xml:space="preserve"> Fokussierung auf die Entstehung von Energie- und Reduktionsäquivalenten sowie die Oxidation zu Pyruvat als Endprodukt der Glykolyse</w:t>
            </w:r>
          </w:p>
          <w:p w14:paraId="7841B8C4" w14:textId="12C33CBD" w:rsidR="00BA42C3" w:rsidRDefault="00BA42C3" w:rsidP="00401345">
            <w:pPr>
              <w:pStyle w:val="UVuListe"/>
              <w:numPr>
                <w:ilvl w:val="0"/>
                <w:numId w:val="6"/>
              </w:numPr>
              <w:ind w:left="170" w:hanging="170"/>
              <w:rPr>
                <w:color w:val="000000" w:themeColor="text1"/>
              </w:rPr>
            </w:pPr>
            <w:r>
              <w:rPr>
                <w:color w:val="000000" w:themeColor="text1"/>
              </w:rPr>
              <w:t xml:space="preserve">Beschreibung des oxidativen Abbaus von Pyruvat zu Kohlenstoffdioxid in den Mitochondrien durch oxidative Decarboxylierung und die Prozesse im </w:t>
            </w:r>
            <w:proofErr w:type="spellStart"/>
            <w:r>
              <w:rPr>
                <w:color w:val="000000" w:themeColor="text1"/>
              </w:rPr>
              <w:t>Tricarbonsäurezyklus</w:t>
            </w:r>
            <w:proofErr w:type="spellEnd"/>
            <w:r>
              <w:rPr>
                <w:color w:val="000000" w:themeColor="text1"/>
              </w:rPr>
              <w:t xml:space="preserve">, dabei Fokussierung auf die Reaktionen, in denen Reduktionsäquivalente und ATP gebildet werden </w:t>
            </w:r>
          </w:p>
          <w:p w14:paraId="1D14AC4F" w14:textId="67966E86" w:rsidR="00BA42C3" w:rsidRDefault="00BA42C3" w:rsidP="007807E7">
            <w:pPr>
              <w:pStyle w:val="UVuListe"/>
              <w:numPr>
                <w:ilvl w:val="0"/>
                <w:numId w:val="6"/>
              </w:numPr>
              <w:ind w:left="170" w:hanging="170"/>
              <w:rPr>
                <w:color w:val="000000" w:themeColor="text1"/>
              </w:rPr>
            </w:pPr>
            <w:r>
              <w:rPr>
                <w:color w:val="000000" w:themeColor="text1"/>
              </w:rPr>
              <w:t>Aufstellung einer Gesamtbilanz aus den ersten drei Schritten und Abgleich mit der Bruttogleichung der Zellatmung</w:t>
            </w:r>
          </w:p>
          <w:p w14:paraId="111B04D1" w14:textId="21032BE2" w:rsidR="00780FA7" w:rsidRPr="007807E7" w:rsidRDefault="00780FA7" w:rsidP="00780FA7">
            <w:pPr>
              <w:pStyle w:val="UVuListe"/>
              <w:numPr>
                <w:ilvl w:val="0"/>
                <w:numId w:val="0"/>
              </w:numPr>
              <w:ind w:left="170"/>
              <w:rPr>
                <w:color w:val="000000" w:themeColor="text1"/>
              </w:rPr>
            </w:pPr>
            <w:r>
              <w:rPr>
                <w:color w:val="000000" w:themeColor="text1"/>
              </w:rPr>
              <w:t>Hinweis: Strukturformeln der Zwischenprodukte müssen nicht reproduziert werden können.</w:t>
            </w:r>
          </w:p>
          <w:p w14:paraId="3D23178F" w14:textId="3159A710" w:rsidR="00BA42C3" w:rsidRPr="00931BA7" w:rsidRDefault="00BA42C3" w:rsidP="00401345">
            <w:pPr>
              <w:pStyle w:val="UVGrundtext"/>
              <w:widowControl w:val="0"/>
              <w:numPr>
                <w:ilvl w:val="0"/>
                <w:numId w:val="6"/>
              </w:numPr>
              <w:ind w:left="170" w:hanging="170"/>
              <w:rPr>
                <w:color w:val="000000" w:themeColor="text1"/>
              </w:rPr>
            </w:pPr>
            <w:r>
              <w:rPr>
                <w:color w:val="000000" w:themeColor="text1"/>
              </w:rPr>
              <w:t xml:space="preserve">Veranschaulichung </w:t>
            </w:r>
            <w:r w:rsidR="007807E7">
              <w:rPr>
                <w:color w:val="000000" w:themeColor="text1"/>
              </w:rPr>
              <w:t xml:space="preserve">des Elektronentransports in </w:t>
            </w:r>
            <w:r>
              <w:rPr>
                <w:color w:val="000000" w:themeColor="text1"/>
              </w:rPr>
              <w:t>der Atmungskette</w:t>
            </w:r>
            <w:r w:rsidR="007807E7">
              <w:rPr>
                <w:color w:val="000000" w:themeColor="text1"/>
              </w:rPr>
              <w:t xml:space="preserve"> und des Protonentransports durch die Membran anhand einer vereinfachten Darstellung</w:t>
            </w:r>
            <w:r w:rsidR="002577DF">
              <w:rPr>
                <w:color w:val="000000" w:themeColor="text1"/>
              </w:rPr>
              <w:t xml:space="preserve"> (K9)</w:t>
            </w:r>
            <w:r>
              <w:rPr>
                <w:color w:val="000000" w:themeColor="text1"/>
              </w:rPr>
              <w:t xml:space="preserve"> </w:t>
            </w:r>
          </w:p>
          <w:p w14:paraId="064BA005" w14:textId="38EFFA6A" w:rsidR="00BA42C3" w:rsidRDefault="00BA42C3" w:rsidP="00401345">
            <w:pPr>
              <w:pStyle w:val="UVuListe"/>
              <w:numPr>
                <w:ilvl w:val="0"/>
                <w:numId w:val="6"/>
              </w:numPr>
              <w:ind w:left="170" w:hanging="170"/>
              <w:rPr>
                <w:color w:val="000000" w:themeColor="text1"/>
              </w:rPr>
            </w:pPr>
            <w:r>
              <w:rPr>
                <w:color w:val="000000" w:themeColor="text1"/>
              </w:rPr>
              <w:t>Analyse der Bedeutung der Verfügbarkeit von Sauerstoff als Endakzeptor der Elektronen und NADH+H</w:t>
            </w:r>
            <w:r w:rsidRPr="00E32962">
              <w:rPr>
                <w:color w:val="000000" w:themeColor="text1"/>
                <w:vertAlign w:val="superscript"/>
              </w:rPr>
              <w:t>+</w:t>
            </w:r>
            <w:r>
              <w:rPr>
                <w:color w:val="000000" w:themeColor="text1"/>
              </w:rPr>
              <w:t xml:space="preserve"> als Elektronendonator zur Aufrechterhaltung des Protonengradienten</w:t>
            </w:r>
          </w:p>
          <w:p w14:paraId="14EF3186" w14:textId="1C4D9694" w:rsidR="00BA42C3" w:rsidRPr="007807E7" w:rsidRDefault="00BA42C3" w:rsidP="00401345">
            <w:pPr>
              <w:pStyle w:val="UVuListe"/>
              <w:numPr>
                <w:ilvl w:val="0"/>
                <w:numId w:val="6"/>
              </w:numPr>
              <w:ind w:left="170" w:hanging="170"/>
              <w:rPr>
                <w:color w:val="000000" w:themeColor="text1"/>
              </w:rPr>
            </w:pPr>
            <w:r>
              <w:rPr>
                <w:color w:val="000000" w:themeColor="text1"/>
              </w:rPr>
              <w:t>Vervollständigung des Übersichtsschemas und Aufstellen einer Gesamtbilanz der Zellatmung</w:t>
            </w:r>
            <w:r w:rsidR="002577DF">
              <w:rPr>
                <w:color w:val="000000" w:themeColor="text1"/>
              </w:rPr>
              <w:t xml:space="preserve"> (K9)</w:t>
            </w:r>
          </w:p>
        </w:tc>
      </w:tr>
      <w:tr w:rsidR="00BA42C3" w:rsidRPr="004C53DA" w14:paraId="15CABF80" w14:textId="77777777" w:rsidTr="00780FA7">
        <w:trPr>
          <w:trHeight w:val="1185"/>
        </w:trPr>
        <w:tc>
          <w:tcPr>
            <w:tcW w:w="1807" w:type="dxa"/>
            <w:tcBorders>
              <w:left w:val="single" w:sz="8" w:space="0" w:color="000000"/>
              <w:bottom w:val="single" w:sz="4" w:space="0" w:color="auto"/>
              <w:right w:val="single" w:sz="4" w:space="0" w:color="000000"/>
            </w:tcBorders>
            <w:shd w:val="clear" w:color="auto" w:fill="auto"/>
            <w:tcMar>
              <w:top w:w="57" w:type="dxa"/>
              <w:left w:w="57" w:type="dxa"/>
              <w:bottom w:w="57" w:type="dxa"/>
              <w:right w:w="57" w:type="dxa"/>
            </w:tcMar>
          </w:tcPr>
          <w:p w14:paraId="70F0655D" w14:textId="77777777" w:rsidR="00BA42C3" w:rsidRPr="004C53DA" w:rsidRDefault="00BA42C3" w:rsidP="00401345">
            <w:pPr>
              <w:widowControl w:val="0"/>
              <w:numPr>
                <w:ilvl w:val="0"/>
                <w:numId w:val="3"/>
              </w:numPr>
              <w:spacing w:after="60" w:line="240" w:lineRule="auto"/>
              <w:ind w:left="170" w:hanging="170"/>
              <w:jc w:val="left"/>
              <w:rPr>
                <w:rFonts w:eastAsia="Times New Roman"/>
                <w:iCs/>
                <w:sz w:val="18"/>
                <w:szCs w:val="18"/>
                <w:lang w:eastAsia="de-DE"/>
              </w:rPr>
            </w:pPr>
            <w:r w:rsidRPr="004C53DA">
              <w:rPr>
                <w:rFonts w:eastAsiaTheme="majorEastAsia"/>
                <w:iCs/>
                <w:color w:val="000000" w:themeColor="text1"/>
                <w:sz w:val="18"/>
                <w:szCs w:val="18"/>
                <w:lang w:eastAsia="de-DE"/>
              </w:rPr>
              <w:t>Stoffwechselregulation</w:t>
            </w:r>
            <w:r w:rsidRPr="004C53DA">
              <w:rPr>
                <w:rFonts w:eastAsia="Times New Roman"/>
                <w:iCs/>
                <w:sz w:val="18"/>
                <w:szCs w:val="18"/>
                <w:lang w:eastAsia="de-DE"/>
              </w:rPr>
              <w:t xml:space="preserve"> auf Enzymebene</w:t>
            </w:r>
          </w:p>
        </w:tc>
        <w:tc>
          <w:tcPr>
            <w:tcW w:w="3296"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516D9419" w14:textId="460A95CC" w:rsidR="00BA42C3" w:rsidRPr="004C53DA" w:rsidRDefault="00BA42C3" w:rsidP="00401345">
            <w:pPr>
              <w:widowControl w:val="0"/>
              <w:numPr>
                <w:ilvl w:val="0"/>
                <w:numId w:val="3"/>
              </w:numPr>
              <w:spacing w:after="60" w:line="240" w:lineRule="auto"/>
              <w:ind w:left="170" w:hanging="170"/>
              <w:jc w:val="left"/>
              <w:rPr>
                <w:rFonts w:eastAsia="Times New Roman"/>
                <w:iCs/>
                <w:sz w:val="18"/>
                <w:szCs w:val="18"/>
                <w:lang w:eastAsia="de-DE"/>
              </w:rPr>
            </w:pPr>
            <w:r w:rsidRPr="004C53DA">
              <w:rPr>
                <w:rFonts w:eastAsia="Times New Roman"/>
                <w:iCs/>
                <w:sz w:val="18"/>
                <w:szCs w:val="18"/>
                <w:lang w:eastAsia="de-DE"/>
              </w:rPr>
              <w:t xml:space="preserve">erklären die </w:t>
            </w:r>
            <w:r w:rsidRPr="004C53DA">
              <w:rPr>
                <w:rFonts w:eastAsiaTheme="majorEastAsia"/>
                <w:iCs/>
                <w:color w:val="000000" w:themeColor="text1"/>
                <w:sz w:val="18"/>
                <w:szCs w:val="18"/>
                <w:lang w:eastAsia="de-DE"/>
              </w:rPr>
              <w:t>regulatorische</w:t>
            </w:r>
            <w:r w:rsidRPr="004C53DA">
              <w:rPr>
                <w:rFonts w:eastAsia="Times New Roman"/>
                <w:iCs/>
                <w:sz w:val="18"/>
                <w:szCs w:val="18"/>
                <w:lang w:eastAsia="de-DE"/>
              </w:rPr>
              <w:t xml:space="preserve"> Wirkung von Enzymen in mehrstufigen Reaktionswegen des Stoffwechsels (S7, E1–4, E11, E12)</w:t>
            </w:r>
            <w:r w:rsidR="00780FA7">
              <w:rPr>
                <w:rFonts w:eastAsia="Times New Roman"/>
                <w:iCs/>
                <w:sz w:val="18"/>
                <w:szCs w:val="18"/>
                <w:lang w:eastAsia="de-DE"/>
              </w:rPr>
              <w:t>.</w:t>
            </w:r>
          </w:p>
          <w:p w14:paraId="73D771E6" w14:textId="1F219365" w:rsidR="00BA42C3" w:rsidRPr="00666A65" w:rsidRDefault="00BA42C3" w:rsidP="00401345">
            <w:pPr>
              <w:pStyle w:val="Listenabsatz"/>
              <w:widowControl w:val="0"/>
              <w:numPr>
                <w:ilvl w:val="0"/>
                <w:numId w:val="3"/>
              </w:numPr>
              <w:spacing w:after="60" w:line="240" w:lineRule="auto"/>
              <w:ind w:left="135" w:hanging="135"/>
              <w:jc w:val="left"/>
              <w:rPr>
                <w:rFonts w:eastAsia="Times New Roman"/>
                <w:iCs/>
                <w:sz w:val="18"/>
                <w:szCs w:val="18"/>
                <w:lang w:eastAsia="de-DE"/>
              </w:rPr>
            </w:pPr>
            <w:r w:rsidRPr="00666A65">
              <w:rPr>
                <w:rFonts w:eastAsia="Times New Roman"/>
                <w:bCs/>
                <w:iCs/>
                <w:sz w:val="18"/>
                <w:szCs w:val="18"/>
                <w:lang w:eastAsia="de-DE"/>
              </w:rPr>
              <w:t>nehmen zum</w:t>
            </w:r>
            <w:r w:rsidRPr="00666A65">
              <w:rPr>
                <w:rFonts w:eastAsia="Times New Roman"/>
                <w:iCs/>
                <w:sz w:val="18"/>
                <w:szCs w:val="18"/>
                <w:lang w:eastAsia="de-DE"/>
              </w:rPr>
              <w:t xml:space="preserve"> Konsum eines ausgewählten Nahrungsergänzungsmittels unter </w:t>
            </w:r>
            <w:r w:rsidRPr="00666A65">
              <w:rPr>
                <w:rFonts w:eastAsia="Times New Roman"/>
                <w:iCs/>
                <w:noProof/>
                <w:sz w:val="18"/>
                <w:szCs w:val="18"/>
                <w:lang w:eastAsia="de-DE"/>
              </w:rPr>
              <w:t>stoffwechselphysiologischen</w:t>
            </w:r>
            <w:r w:rsidRPr="00666A65">
              <w:rPr>
                <w:rFonts w:eastAsia="Times New Roman"/>
                <w:iCs/>
                <w:sz w:val="18"/>
                <w:szCs w:val="18"/>
                <w:lang w:eastAsia="de-DE"/>
              </w:rPr>
              <w:t xml:space="preserve"> Aspekten Stellung (S6, K1–4, B5, B7, B9)</w:t>
            </w:r>
            <w:r w:rsidR="00780FA7">
              <w:rPr>
                <w:rFonts w:eastAsia="Times New Roman"/>
                <w:iCs/>
                <w:sz w:val="18"/>
                <w:szCs w:val="18"/>
                <w:lang w:eastAsia="de-DE"/>
              </w:rPr>
              <w:t>.</w:t>
            </w:r>
          </w:p>
        </w:tc>
        <w:tc>
          <w:tcPr>
            <w:tcW w:w="2267"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2B397732" w14:textId="77777777" w:rsidR="00BA42C3" w:rsidRPr="00AD326A" w:rsidRDefault="00BA42C3" w:rsidP="00401345">
            <w:pPr>
              <w:widowControl w:val="0"/>
              <w:spacing w:after="60" w:line="240" w:lineRule="auto"/>
              <w:jc w:val="left"/>
              <w:rPr>
                <w:rFonts w:eastAsia="Times New Roman"/>
                <w:b/>
                <w:bCs/>
                <w:iCs/>
                <w:color w:val="000000" w:themeColor="text1"/>
                <w:sz w:val="18"/>
                <w:szCs w:val="18"/>
                <w:lang w:eastAsia="de-DE"/>
              </w:rPr>
            </w:pPr>
            <w:r w:rsidRPr="00AD326A">
              <w:rPr>
                <w:rFonts w:eastAsia="Times New Roman"/>
                <w:b/>
                <w:bCs/>
                <w:i/>
                <w:color w:val="000000" w:themeColor="text1"/>
                <w:sz w:val="18"/>
                <w:szCs w:val="18"/>
                <w:lang w:eastAsia="de-DE"/>
              </w:rPr>
              <w:t>Wie beeinflussen Nahrungsergänzungsmittel als Cofaktoren den Energiestoffwechsel</w:t>
            </w:r>
            <w:r>
              <w:rPr>
                <w:rFonts w:eastAsia="Times New Roman"/>
                <w:b/>
                <w:bCs/>
                <w:i/>
                <w:color w:val="000000" w:themeColor="text1"/>
                <w:sz w:val="18"/>
                <w:szCs w:val="18"/>
                <w:lang w:eastAsia="de-DE"/>
              </w:rPr>
              <w:t>?</w:t>
            </w:r>
          </w:p>
          <w:p w14:paraId="569E8FB5" w14:textId="2EB6C643" w:rsidR="00BA42C3" w:rsidRPr="004C53DA" w:rsidRDefault="00BA42C3" w:rsidP="00401345">
            <w:pPr>
              <w:widowControl w:val="0"/>
              <w:spacing w:after="80" w:line="240" w:lineRule="auto"/>
              <w:jc w:val="left"/>
              <w:rPr>
                <w:rFonts w:eastAsia="Times New Roman"/>
                <w:i/>
                <w:iCs/>
                <w:sz w:val="18"/>
                <w:szCs w:val="18"/>
                <w:lang w:eastAsia="de-DE"/>
              </w:rPr>
            </w:pPr>
            <w:r w:rsidRPr="004C53DA">
              <w:rPr>
                <w:rFonts w:eastAsia="Times New Roman"/>
                <w:iCs/>
                <w:sz w:val="18"/>
                <w:szCs w:val="18"/>
                <w:lang w:eastAsia="de-DE"/>
              </w:rPr>
              <w:t xml:space="preserve">(ca. </w:t>
            </w:r>
            <w:r w:rsidR="00780FA7">
              <w:rPr>
                <w:rFonts w:eastAsia="Times New Roman"/>
                <w:iCs/>
                <w:sz w:val="18"/>
                <w:szCs w:val="18"/>
                <w:lang w:eastAsia="de-DE"/>
              </w:rPr>
              <w:t>5</w:t>
            </w:r>
            <w:r w:rsidRPr="004C53DA">
              <w:rPr>
                <w:rFonts w:eastAsia="Times New Roman"/>
                <w:iCs/>
                <w:sz w:val="18"/>
                <w:szCs w:val="18"/>
                <w:lang w:eastAsia="de-DE"/>
              </w:rPr>
              <w:t xml:space="preserve"> Ustd.)</w:t>
            </w:r>
          </w:p>
        </w:tc>
        <w:tc>
          <w:tcPr>
            <w:tcW w:w="6805" w:type="dxa"/>
            <w:tcBorders>
              <w:left w:val="single" w:sz="4" w:space="0" w:color="000000"/>
              <w:bottom w:val="single" w:sz="4" w:space="0" w:color="auto"/>
              <w:right w:val="single" w:sz="8" w:space="0" w:color="000000"/>
            </w:tcBorders>
          </w:tcPr>
          <w:p w14:paraId="1BFBE4BA" w14:textId="77777777" w:rsidR="00BA42C3" w:rsidRPr="00403AF0" w:rsidRDefault="00BA42C3" w:rsidP="00401345">
            <w:pPr>
              <w:pStyle w:val="UVGrundtext"/>
              <w:widowControl w:val="0"/>
              <w:rPr>
                <w:i/>
                <w:iCs w:val="0"/>
                <w:color w:val="000000" w:themeColor="text1"/>
                <w:szCs w:val="18"/>
              </w:rPr>
            </w:pPr>
            <w:r w:rsidRPr="00403AF0">
              <w:rPr>
                <w:i/>
                <w:iCs w:val="0"/>
                <w:color w:val="000000" w:themeColor="text1"/>
                <w:szCs w:val="18"/>
              </w:rPr>
              <w:t>Kontext:</w:t>
            </w:r>
          </w:p>
          <w:p w14:paraId="0ED419B4" w14:textId="119C790C" w:rsidR="00BA42C3" w:rsidRPr="002577DF" w:rsidRDefault="00BA42C3" w:rsidP="00401345">
            <w:pPr>
              <w:pStyle w:val="UVuListe"/>
              <w:numPr>
                <w:ilvl w:val="0"/>
                <w:numId w:val="0"/>
              </w:numPr>
              <w:rPr>
                <w:b/>
                <w:bCs/>
                <w:color w:val="000000" w:themeColor="text1"/>
              </w:rPr>
            </w:pPr>
            <w:r w:rsidRPr="00EC07C6">
              <w:rPr>
                <w:b/>
                <w:bCs/>
                <w:color w:val="000000" w:themeColor="text1"/>
              </w:rPr>
              <w:t>Mikronährstoffpräparate</w:t>
            </w:r>
            <w:r>
              <w:rPr>
                <w:b/>
                <w:bCs/>
                <w:color w:val="000000" w:themeColor="text1"/>
              </w:rPr>
              <w:t xml:space="preserve"> beim Sport</w:t>
            </w:r>
            <w:r w:rsidR="004C6132">
              <w:rPr>
                <w:b/>
                <w:bCs/>
                <w:color w:val="000000" w:themeColor="text1"/>
              </w:rPr>
              <w:t xml:space="preserve"> </w:t>
            </w:r>
            <w:r w:rsidRPr="00EC07C6">
              <w:rPr>
                <w:b/>
                <w:bCs/>
                <w:color w:val="000000" w:themeColor="text1"/>
              </w:rPr>
              <w:t xml:space="preserve">– Lifestyle oder notwendige Ergänzung? </w:t>
            </w:r>
          </w:p>
          <w:p w14:paraId="79EAB546" w14:textId="77777777" w:rsidR="00BA42C3" w:rsidRPr="004043F8" w:rsidRDefault="00BA42C3" w:rsidP="00401345">
            <w:pPr>
              <w:pStyle w:val="UVuListe"/>
              <w:numPr>
                <w:ilvl w:val="0"/>
                <w:numId w:val="0"/>
              </w:numPr>
              <w:rPr>
                <w:i/>
                <w:iCs w:val="0"/>
                <w:color w:val="000000" w:themeColor="text1"/>
              </w:rPr>
            </w:pPr>
            <w:r>
              <w:rPr>
                <w:i/>
                <w:iCs w:val="0"/>
                <w:color w:val="000000" w:themeColor="text1"/>
              </w:rPr>
              <w:t>Zentrale Unterrichtssituationen:</w:t>
            </w:r>
          </w:p>
          <w:p w14:paraId="3C39490C" w14:textId="56361DC3" w:rsidR="00BA42C3" w:rsidRDefault="00BA42C3" w:rsidP="00401345">
            <w:pPr>
              <w:pStyle w:val="UVuListe"/>
              <w:ind w:left="170" w:hanging="170"/>
              <w:rPr>
                <w:color w:val="000000" w:themeColor="text1"/>
              </w:rPr>
            </w:pPr>
            <w:r w:rsidRPr="00403AF0">
              <w:rPr>
                <w:color w:val="000000" w:themeColor="text1"/>
              </w:rPr>
              <w:t>Reaktivierung des Vorwissens zu enzymatischen Reaktionen und der Enzymregulation</w:t>
            </w:r>
            <w:r>
              <w:rPr>
                <w:color w:val="000000" w:themeColor="text1"/>
              </w:rPr>
              <w:t xml:space="preserve"> durch Aktivatoren und Inhibitoren</w:t>
            </w:r>
            <w:r w:rsidR="002815EA">
              <w:rPr>
                <w:color w:val="000000" w:themeColor="text1"/>
              </w:rPr>
              <w:t xml:space="preserve"> unter Verwendung einfache,</w:t>
            </w:r>
            <w:r w:rsidR="005E49E6">
              <w:rPr>
                <w:color w:val="000000" w:themeColor="text1"/>
              </w:rPr>
              <w:t xml:space="preserve"> modellhafter Abbildungen</w:t>
            </w:r>
            <w:r>
              <w:rPr>
                <w:color w:val="000000" w:themeColor="text1"/>
              </w:rPr>
              <w:t xml:space="preserve"> </w:t>
            </w:r>
            <w:r w:rsidRPr="00780FA7">
              <w:rPr>
                <w:color w:val="000000" w:themeColor="text1"/>
                <w:highlight w:val="lightGray"/>
              </w:rPr>
              <w:t>(</w:t>
            </w:r>
            <w:r w:rsidRPr="00352592">
              <w:rPr>
                <w:color w:val="000000" w:themeColor="text1"/>
                <w:shd w:val="clear" w:color="auto" w:fill="D9D9D9" w:themeFill="background1" w:themeFillShade="D9"/>
              </w:rPr>
              <w:sym w:font="Wingdings 3" w:char="F067"/>
            </w:r>
            <w:r>
              <w:rPr>
                <w:color w:val="000000" w:themeColor="text1"/>
                <w:shd w:val="clear" w:color="auto" w:fill="D9D9D9" w:themeFill="background1" w:themeFillShade="D9"/>
              </w:rPr>
              <w:t>EF</w:t>
            </w:r>
            <w:r w:rsidRPr="00E22142">
              <w:rPr>
                <w:color w:val="000000" w:themeColor="text1"/>
                <w:highlight w:val="lightGray"/>
              </w:rPr>
              <w:t>)</w:t>
            </w:r>
          </w:p>
          <w:p w14:paraId="5FC39974" w14:textId="6745D451" w:rsidR="002577DF" w:rsidRPr="001531A4" w:rsidRDefault="002577DF" w:rsidP="002577DF">
            <w:pPr>
              <w:pStyle w:val="UVuListe"/>
              <w:ind w:left="170" w:hanging="170"/>
              <w:rPr>
                <w:color w:val="000000" w:themeColor="text1"/>
              </w:rPr>
            </w:pPr>
            <w:r w:rsidRPr="001531A4">
              <w:rPr>
                <w:color w:val="000000" w:themeColor="text1"/>
              </w:rPr>
              <w:t>Reaktivierung der Kenntnisse zu Cofaktoren am Beispiel von Mineralstoff- oder Vitaminpräparaten als Nahrungsergänzungsmittel (NEM) [</w:t>
            </w:r>
            <w:r w:rsidR="00C45499">
              <w:rPr>
                <w:color w:val="000000" w:themeColor="text1"/>
              </w:rPr>
              <w:t>2</w:t>
            </w:r>
            <w:r w:rsidRPr="001531A4">
              <w:rPr>
                <w:color w:val="000000" w:themeColor="text1"/>
              </w:rPr>
              <w:t>,</w:t>
            </w:r>
            <w:r w:rsidR="00DB7D21">
              <w:rPr>
                <w:color w:val="000000" w:themeColor="text1"/>
              </w:rPr>
              <w:t xml:space="preserve"> </w:t>
            </w:r>
            <w:r w:rsidR="00C45499">
              <w:rPr>
                <w:color w:val="000000" w:themeColor="text1"/>
              </w:rPr>
              <w:t>3</w:t>
            </w:r>
            <w:r w:rsidRPr="001531A4">
              <w:rPr>
                <w:color w:val="000000" w:themeColor="text1"/>
              </w:rPr>
              <w:t>]</w:t>
            </w:r>
          </w:p>
          <w:p w14:paraId="6DE2E103" w14:textId="650BA5BF" w:rsidR="002577DF" w:rsidRPr="001531A4" w:rsidRDefault="002577DF" w:rsidP="002577DF">
            <w:pPr>
              <w:pStyle w:val="UVuListe"/>
              <w:ind w:left="170" w:hanging="170"/>
              <w:rPr>
                <w:color w:val="000000" w:themeColor="text1"/>
              </w:rPr>
            </w:pPr>
            <w:r w:rsidRPr="001531A4">
              <w:rPr>
                <w:color w:val="000000" w:themeColor="text1"/>
              </w:rPr>
              <w:lastRenderedPageBreak/>
              <w:t>angeleitete Recherche zu NEM beim Sport, hierbei besondere Fokussierung auf Quellenherkunft und Intention der Autoren (K4) [</w:t>
            </w:r>
            <w:r w:rsidR="00C35FA6">
              <w:rPr>
                <w:color w:val="000000" w:themeColor="text1"/>
              </w:rPr>
              <w:t>4</w:t>
            </w:r>
            <w:r w:rsidRPr="001531A4">
              <w:rPr>
                <w:color w:val="000000" w:themeColor="text1"/>
              </w:rPr>
              <w:t>]</w:t>
            </w:r>
          </w:p>
          <w:p w14:paraId="4876EF65" w14:textId="0C377BDE" w:rsidR="00BA42C3" w:rsidRPr="00AD326A" w:rsidRDefault="002577DF" w:rsidP="002577DF">
            <w:pPr>
              <w:pStyle w:val="UVuListe"/>
              <w:ind w:left="170" w:hanging="170"/>
              <w:rPr>
                <w:color w:val="000000" w:themeColor="text1"/>
              </w:rPr>
            </w:pPr>
            <w:r w:rsidRPr="001531A4">
              <w:rPr>
                <w:color w:val="000000" w:themeColor="text1"/>
              </w:rPr>
              <w:t>Bewertungsprozess: Abwägung von Handlungsoptionen und kriteriengeleitete Meinungsbildung sowie Entscheidungsfindung</w:t>
            </w:r>
            <w:r>
              <w:rPr>
                <w:color w:val="000000" w:themeColor="text1"/>
              </w:rPr>
              <w:t xml:space="preserve"> </w:t>
            </w:r>
            <w:r w:rsidRPr="001531A4">
              <w:rPr>
                <w:color w:val="000000" w:themeColor="text1"/>
              </w:rPr>
              <w:t>(B9) [</w:t>
            </w:r>
            <w:r w:rsidR="00C35FA6">
              <w:rPr>
                <w:color w:val="000000" w:themeColor="text1"/>
              </w:rPr>
              <w:t>5</w:t>
            </w:r>
            <w:r w:rsidRPr="001531A4">
              <w:rPr>
                <w:color w:val="000000" w:themeColor="text1"/>
              </w:rPr>
              <w:t xml:space="preserve">] </w:t>
            </w:r>
          </w:p>
        </w:tc>
      </w:tr>
    </w:tbl>
    <w:p w14:paraId="0B5772F9" w14:textId="77777777" w:rsidR="004E2CA8" w:rsidRDefault="004E2CA8" w:rsidP="00BA42C3"/>
    <w:p w14:paraId="7CE4620D" w14:textId="6B8FEBD6" w:rsidR="00BA42C3" w:rsidRPr="004E2CA8" w:rsidRDefault="004E2CA8" w:rsidP="00BA42C3">
      <w:r w:rsidRPr="004E2CA8">
        <w:t>Weiterführende Materialien:</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25"/>
        <w:gridCol w:w="6560"/>
        <w:gridCol w:w="7194"/>
      </w:tblGrid>
      <w:tr w:rsidR="00BA42C3" w:rsidRPr="00E83D33" w14:paraId="401BFF68" w14:textId="77777777" w:rsidTr="00401345">
        <w:trPr>
          <w:trHeight w:val="113"/>
          <w:tblHeader/>
        </w:trPr>
        <w:tc>
          <w:tcPr>
            <w:tcW w:w="184" w:type="pct"/>
            <w:tcBorders>
              <w:bottom w:val="single" w:sz="4" w:space="0" w:color="auto"/>
            </w:tcBorders>
            <w:shd w:val="clear" w:color="auto" w:fill="D9D9D9"/>
          </w:tcPr>
          <w:p w14:paraId="60927DDD" w14:textId="77777777" w:rsidR="00BA42C3" w:rsidRPr="00E83D33" w:rsidRDefault="00BA42C3" w:rsidP="00401345">
            <w:pPr>
              <w:autoSpaceDN/>
              <w:spacing w:before="60" w:after="60"/>
              <w:jc w:val="center"/>
              <w:textAlignment w:val="auto"/>
              <w:rPr>
                <w:rFonts w:eastAsia="Times New Roman" w:cs="Times New Roman"/>
                <w:b/>
                <w:color w:val="000000" w:themeColor="text1"/>
                <w:sz w:val="18"/>
                <w:szCs w:val="18"/>
              </w:rPr>
            </w:pPr>
            <w:r w:rsidRPr="00E83D33">
              <w:rPr>
                <w:rFonts w:eastAsia="Times New Roman" w:cs="Times New Roman"/>
                <w:b/>
                <w:color w:val="000000" w:themeColor="text1"/>
                <w:sz w:val="18"/>
                <w:szCs w:val="18"/>
              </w:rPr>
              <w:t>Nr.</w:t>
            </w:r>
          </w:p>
        </w:tc>
        <w:tc>
          <w:tcPr>
            <w:tcW w:w="2297" w:type="pct"/>
            <w:tcBorders>
              <w:bottom w:val="single" w:sz="4" w:space="0" w:color="auto"/>
            </w:tcBorders>
            <w:shd w:val="clear" w:color="auto" w:fill="D9D9D9"/>
          </w:tcPr>
          <w:p w14:paraId="6EF36BE9" w14:textId="77777777" w:rsidR="00BA42C3" w:rsidRPr="00E83D33" w:rsidRDefault="00BA42C3" w:rsidP="00401345">
            <w:pPr>
              <w:autoSpaceDN/>
              <w:spacing w:before="60" w:after="60" w:line="240" w:lineRule="auto"/>
              <w:textAlignment w:val="auto"/>
              <w:rPr>
                <w:rFonts w:eastAsia="Times New Roman"/>
                <w:b/>
                <w:color w:val="000000" w:themeColor="text1"/>
                <w:sz w:val="18"/>
                <w:szCs w:val="18"/>
              </w:rPr>
            </w:pPr>
            <w:r w:rsidRPr="00E83D33">
              <w:rPr>
                <w:rFonts w:eastAsia="Times New Roman"/>
                <w:b/>
                <w:color w:val="000000" w:themeColor="text1"/>
                <w:sz w:val="18"/>
                <w:szCs w:val="18"/>
              </w:rPr>
              <w:t>URL / Quellenangabe</w:t>
            </w:r>
          </w:p>
        </w:tc>
        <w:tc>
          <w:tcPr>
            <w:tcW w:w="2519" w:type="pct"/>
            <w:tcBorders>
              <w:bottom w:val="single" w:sz="4" w:space="0" w:color="auto"/>
            </w:tcBorders>
            <w:shd w:val="clear" w:color="auto" w:fill="D9D9D9"/>
          </w:tcPr>
          <w:p w14:paraId="0B7FC7AD" w14:textId="77777777" w:rsidR="00BA42C3" w:rsidRPr="00E83D33" w:rsidRDefault="00BA42C3" w:rsidP="00401345">
            <w:pPr>
              <w:autoSpaceDN/>
              <w:spacing w:before="60" w:after="60" w:line="240" w:lineRule="auto"/>
              <w:textAlignment w:val="auto"/>
              <w:rPr>
                <w:rFonts w:eastAsia="Times New Roman"/>
                <w:b/>
                <w:color w:val="000000" w:themeColor="text1"/>
                <w:sz w:val="18"/>
                <w:szCs w:val="18"/>
              </w:rPr>
            </w:pPr>
            <w:r w:rsidRPr="00E83D33">
              <w:rPr>
                <w:rFonts w:eastAsia="Times New Roman"/>
                <w:b/>
                <w:color w:val="000000" w:themeColor="text1"/>
                <w:sz w:val="18"/>
                <w:szCs w:val="18"/>
              </w:rPr>
              <w:t>Kurzbeschreibung des Inhalts / der Quelle</w:t>
            </w:r>
          </w:p>
        </w:tc>
      </w:tr>
      <w:tr w:rsidR="00E86FA7" w:rsidRPr="00E83D33" w14:paraId="3B691276" w14:textId="77777777" w:rsidTr="00C22C70">
        <w:trPr>
          <w:trHeight w:val="227"/>
        </w:trPr>
        <w:tc>
          <w:tcPr>
            <w:tcW w:w="184" w:type="pct"/>
            <w:tcBorders>
              <w:top w:val="single" w:sz="4" w:space="0" w:color="auto"/>
              <w:bottom w:val="single" w:sz="4" w:space="0" w:color="auto"/>
            </w:tcBorders>
            <w:vAlign w:val="center"/>
          </w:tcPr>
          <w:p w14:paraId="3FC58BED" w14:textId="48F5FDA7" w:rsidR="00E86FA7" w:rsidRDefault="00E86FA7" w:rsidP="00C22C70">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1</w:t>
            </w:r>
          </w:p>
        </w:tc>
        <w:tc>
          <w:tcPr>
            <w:tcW w:w="2297" w:type="pct"/>
            <w:tcBorders>
              <w:top w:val="single" w:sz="4" w:space="0" w:color="auto"/>
              <w:left w:val="single" w:sz="4" w:space="0" w:color="auto"/>
              <w:bottom w:val="single" w:sz="4" w:space="0" w:color="auto"/>
              <w:right w:val="single" w:sz="4" w:space="0" w:color="auto"/>
            </w:tcBorders>
            <w:vAlign w:val="center"/>
          </w:tcPr>
          <w:p w14:paraId="1895CBB5" w14:textId="14CEA48F" w:rsidR="0056776A" w:rsidRPr="0056776A" w:rsidRDefault="00000000" w:rsidP="0056776A">
            <w:pPr>
              <w:autoSpaceDN/>
              <w:spacing w:before="60" w:after="60" w:line="240" w:lineRule="auto"/>
              <w:jc w:val="left"/>
              <w:textAlignment w:val="auto"/>
              <w:rPr>
                <w:sz w:val="18"/>
                <w:szCs w:val="18"/>
              </w:rPr>
            </w:pPr>
            <w:hyperlink r:id="rId8" w:history="1">
              <w:r w:rsidR="0056776A" w:rsidRPr="00B02233">
                <w:rPr>
                  <w:rStyle w:val="Hyperlink"/>
                  <w:sz w:val="18"/>
                  <w:szCs w:val="18"/>
                </w:rPr>
                <w:t>https://www.schulentwicklung.nrw.de/materialdatenbank/material/view/6086</w:t>
              </w:r>
            </w:hyperlink>
          </w:p>
        </w:tc>
        <w:tc>
          <w:tcPr>
            <w:tcW w:w="2519" w:type="pct"/>
            <w:tcBorders>
              <w:top w:val="single" w:sz="4" w:space="0" w:color="auto"/>
              <w:left w:val="single" w:sz="4" w:space="0" w:color="auto"/>
              <w:bottom w:val="single" w:sz="4" w:space="0" w:color="auto"/>
              <w:right w:val="single" w:sz="4" w:space="0" w:color="auto"/>
            </w:tcBorders>
          </w:tcPr>
          <w:p w14:paraId="45B4929B" w14:textId="5D313ED3" w:rsidR="00E86FA7" w:rsidRDefault="0056776A" w:rsidP="00E86FA7">
            <w:pPr>
              <w:autoSpaceDN/>
              <w:spacing w:before="60" w:after="60" w:line="240" w:lineRule="auto"/>
              <w:jc w:val="left"/>
              <w:textAlignment w:val="auto"/>
              <w:rPr>
                <w:rFonts w:eastAsia="Times New Roman"/>
                <w:color w:val="000000" w:themeColor="text1"/>
                <w:sz w:val="18"/>
                <w:szCs w:val="18"/>
                <w:shd w:val="clear" w:color="auto" w:fill="FFFFFF"/>
              </w:rPr>
            </w:pPr>
            <w:r>
              <w:rPr>
                <w:color w:val="000000" w:themeColor="text1"/>
                <w:sz w:val="18"/>
                <w:szCs w:val="18"/>
                <w:shd w:val="clear" w:color="auto" w:fill="FFFFFF"/>
              </w:rPr>
              <w:t>In dieser alternativen Unterrichtssequenz</w:t>
            </w:r>
            <w:r w:rsidR="00E86FA7" w:rsidRPr="001531A4">
              <w:rPr>
                <w:color w:val="000000" w:themeColor="text1"/>
                <w:sz w:val="18"/>
                <w:szCs w:val="18"/>
                <w:shd w:val="clear" w:color="auto" w:fill="FFFFFF"/>
              </w:rPr>
              <w:t xml:space="preserve"> werden die gleichen I</w:t>
            </w:r>
            <w:r w:rsidR="00E86FA7">
              <w:rPr>
                <w:color w:val="000000" w:themeColor="text1"/>
                <w:sz w:val="18"/>
                <w:szCs w:val="18"/>
                <w:shd w:val="clear" w:color="auto" w:fill="FFFFFF"/>
              </w:rPr>
              <w:t>nhaltlichen Schwerpunkte und konkretisierten Kompetenzerwartungen</w:t>
            </w:r>
            <w:r w:rsidR="00E86FA7" w:rsidRPr="001531A4">
              <w:rPr>
                <w:color w:val="000000" w:themeColor="text1"/>
                <w:sz w:val="18"/>
                <w:szCs w:val="18"/>
                <w:shd w:val="clear" w:color="auto" w:fill="FFFFFF"/>
              </w:rPr>
              <w:t xml:space="preserve"> des KLP angesteuert, jedoch</w:t>
            </w:r>
            <w:r w:rsidR="00E86FA7">
              <w:rPr>
                <w:color w:val="000000" w:themeColor="text1"/>
                <w:sz w:val="18"/>
                <w:szCs w:val="18"/>
                <w:shd w:val="clear" w:color="auto" w:fill="FFFFFF"/>
              </w:rPr>
              <w:t xml:space="preserve"> wird</w:t>
            </w:r>
            <w:r w:rsidR="00E86FA7" w:rsidRPr="001531A4">
              <w:rPr>
                <w:color w:val="000000" w:themeColor="text1"/>
                <w:sz w:val="18"/>
                <w:szCs w:val="18"/>
                <w:shd w:val="clear" w:color="auto" w:fill="FFFFFF"/>
              </w:rPr>
              <w:t xml:space="preserve"> mit der </w:t>
            </w:r>
            <w:r w:rsidR="00E86FA7">
              <w:rPr>
                <w:color w:val="000000" w:themeColor="text1"/>
                <w:sz w:val="18"/>
                <w:szCs w:val="18"/>
                <w:shd w:val="clear" w:color="auto" w:fill="FFFFFF"/>
              </w:rPr>
              <w:t xml:space="preserve">Erarbeitung der Vorgänge in der </w:t>
            </w:r>
            <w:r w:rsidR="00E86FA7" w:rsidRPr="001531A4">
              <w:rPr>
                <w:color w:val="000000" w:themeColor="text1"/>
                <w:sz w:val="18"/>
                <w:szCs w:val="18"/>
                <w:shd w:val="clear" w:color="auto" w:fill="FFFFFF"/>
              </w:rPr>
              <w:t xml:space="preserve">Atmungskette in die Zellatmung eingestiegen. </w:t>
            </w:r>
          </w:p>
        </w:tc>
      </w:tr>
      <w:tr w:rsidR="00E86FA7" w:rsidRPr="00E83D33" w14:paraId="087DCFC6" w14:textId="77777777" w:rsidTr="00B47462">
        <w:trPr>
          <w:trHeight w:val="227"/>
        </w:trPr>
        <w:tc>
          <w:tcPr>
            <w:tcW w:w="184" w:type="pct"/>
            <w:tcBorders>
              <w:top w:val="single" w:sz="4" w:space="0" w:color="auto"/>
              <w:bottom w:val="single" w:sz="4" w:space="0" w:color="auto"/>
            </w:tcBorders>
            <w:vAlign w:val="center"/>
          </w:tcPr>
          <w:p w14:paraId="0D21FE2B" w14:textId="4A03F828" w:rsidR="00E86FA7" w:rsidRDefault="00E86FA7" w:rsidP="00E86FA7">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2</w:t>
            </w:r>
          </w:p>
        </w:tc>
        <w:tc>
          <w:tcPr>
            <w:tcW w:w="2297" w:type="pct"/>
            <w:tcBorders>
              <w:top w:val="single" w:sz="4" w:space="0" w:color="auto"/>
              <w:left w:val="single" w:sz="4" w:space="0" w:color="auto"/>
              <w:bottom w:val="single" w:sz="4" w:space="0" w:color="auto"/>
              <w:right w:val="single" w:sz="4" w:space="0" w:color="auto"/>
            </w:tcBorders>
            <w:vAlign w:val="center"/>
          </w:tcPr>
          <w:p w14:paraId="33DEA290" w14:textId="5EBAF9F7" w:rsidR="00E86FA7" w:rsidRDefault="00000000" w:rsidP="00E86FA7">
            <w:pPr>
              <w:autoSpaceDN/>
              <w:spacing w:before="60" w:after="60" w:line="240" w:lineRule="auto"/>
              <w:jc w:val="left"/>
              <w:textAlignment w:val="auto"/>
              <w:rPr>
                <w:rFonts w:eastAsia="Times New Roman" w:cs="Times New Roman"/>
                <w:color w:val="000000" w:themeColor="text1"/>
                <w:sz w:val="18"/>
                <w:szCs w:val="18"/>
              </w:rPr>
            </w:pPr>
            <w:hyperlink r:id="rId9" w:history="1">
              <w:r w:rsidR="00E86FA7" w:rsidRPr="00B92D87">
                <w:rPr>
                  <w:rStyle w:val="Hyperlink"/>
                  <w:rFonts w:eastAsia="Times New Roman" w:cs="Times New Roman"/>
                  <w:sz w:val="18"/>
                  <w:szCs w:val="18"/>
                </w:rPr>
                <w:t>http://www.chemgapedia.de/vsengine/vlu/vsc/de/ch/8/bc/vlu/biokatalyse_enzyme/cofaktoren.vlu/Page/vsc/de/ch/8/bc/biokatalyse/vitamine_coenzyme.vscml.html</w:t>
              </w:r>
            </w:hyperlink>
          </w:p>
        </w:tc>
        <w:tc>
          <w:tcPr>
            <w:tcW w:w="2519" w:type="pct"/>
            <w:tcBorders>
              <w:top w:val="single" w:sz="4" w:space="0" w:color="auto"/>
              <w:left w:val="single" w:sz="4" w:space="0" w:color="auto"/>
              <w:bottom w:val="single" w:sz="4" w:space="0" w:color="auto"/>
              <w:right w:val="single" w:sz="4" w:space="0" w:color="auto"/>
            </w:tcBorders>
            <w:vAlign w:val="center"/>
          </w:tcPr>
          <w:p w14:paraId="7F0F4959" w14:textId="6373310B" w:rsidR="00E86FA7" w:rsidRDefault="00E86FA7" w:rsidP="00E86FA7">
            <w:pPr>
              <w:autoSpaceDN/>
              <w:spacing w:before="60" w:after="60" w:line="240" w:lineRule="auto"/>
              <w:jc w:val="left"/>
              <w:textAlignment w:val="auto"/>
              <w:rPr>
                <w:rFonts w:eastAsia="Times New Roman"/>
                <w:color w:val="000000" w:themeColor="text1"/>
                <w:sz w:val="18"/>
                <w:szCs w:val="18"/>
                <w:shd w:val="clear" w:color="auto" w:fill="FFFFFF"/>
              </w:rPr>
            </w:pPr>
            <w:r>
              <w:rPr>
                <w:rFonts w:eastAsia="Times New Roman"/>
                <w:color w:val="000000" w:themeColor="text1"/>
                <w:sz w:val="18"/>
                <w:szCs w:val="18"/>
                <w:shd w:val="clear" w:color="auto" w:fill="FFFFFF"/>
              </w:rPr>
              <w:t>Tabellarische Übersicht der Vitamine, die als Coenzyme im Ene</w:t>
            </w:r>
            <w:r w:rsidR="00BB69C1">
              <w:rPr>
                <w:rFonts w:eastAsia="Times New Roman"/>
                <w:color w:val="000000" w:themeColor="text1"/>
                <w:sz w:val="18"/>
                <w:szCs w:val="18"/>
                <w:shd w:val="clear" w:color="auto" w:fill="FFFFFF"/>
              </w:rPr>
              <w:t>rgiestoffwechsel relevant sind</w:t>
            </w:r>
          </w:p>
        </w:tc>
      </w:tr>
      <w:tr w:rsidR="00E86FA7" w:rsidRPr="001531A4" w14:paraId="674D3D3C" w14:textId="77777777" w:rsidTr="00B47462">
        <w:trPr>
          <w:trHeight w:val="227"/>
        </w:trPr>
        <w:tc>
          <w:tcPr>
            <w:tcW w:w="184" w:type="pct"/>
            <w:tcBorders>
              <w:top w:val="single" w:sz="4" w:space="0" w:color="auto"/>
              <w:bottom w:val="single" w:sz="4" w:space="0" w:color="auto"/>
            </w:tcBorders>
            <w:vAlign w:val="center"/>
          </w:tcPr>
          <w:p w14:paraId="67304BDC" w14:textId="15500086" w:rsidR="00E86FA7" w:rsidRPr="001531A4" w:rsidRDefault="00E86FA7" w:rsidP="00E86FA7">
            <w:pPr>
              <w:spacing w:before="60"/>
              <w:jc w:val="center"/>
              <w:rPr>
                <w:color w:val="000000" w:themeColor="text1"/>
                <w:sz w:val="18"/>
                <w:szCs w:val="18"/>
              </w:rPr>
            </w:pPr>
            <w:r>
              <w:rPr>
                <w:color w:val="000000" w:themeColor="text1"/>
                <w:sz w:val="18"/>
                <w:szCs w:val="18"/>
              </w:rPr>
              <w:t>3</w:t>
            </w:r>
          </w:p>
        </w:tc>
        <w:tc>
          <w:tcPr>
            <w:tcW w:w="2297" w:type="pct"/>
            <w:tcBorders>
              <w:top w:val="single" w:sz="4" w:space="0" w:color="auto"/>
              <w:left w:val="single" w:sz="4" w:space="0" w:color="auto"/>
              <w:bottom w:val="single" w:sz="4" w:space="0" w:color="auto"/>
              <w:right w:val="single" w:sz="4" w:space="0" w:color="auto"/>
            </w:tcBorders>
            <w:vAlign w:val="center"/>
          </w:tcPr>
          <w:p w14:paraId="42DB1B8D" w14:textId="4739D52B" w:rsidR="00E86FA7" w:rsidRPr="002815EA" w:rsidRDefault="00000000" w:rsidP="00E86FA7">
            <w:pPr>
              <w:spacing w:before="60" w:after="60"/>
              <w:jc w:val="left"/>
              <w:rPr>
                <w:sz w:val="18"/>
                <w:szCs w:val="18"/>
              </w:rPr>
            </w:pPr>
            <w:hyperlink r:id="rId10" w:history="1">
              <w:r w:rsidR="00E86FA7" w:rsidRPr="002815EA">
                <w:rPr>
                  <w:rStyle w:val="Hyperlink"/>
                  <w:sz w:val="18"/>
                  <w:szCs w:val="18"/>
                </w:rPr>
                <w:t>https://www.schulentwicklung.nrw.de/materialdatenbank/material/view/6053</w:t>
              </w:r>
            </w:hyperlink>
          </w:p>
        </w:tc>
        <w:tc>
          <w:tcPr>
            <w:tcW w:w="2519" w:type="pct"/>
            <w:tcBorders>
              <w:top w:val="single" w:sz="4" w:space="0" w:color="auto"/>
              <w:left w:val="single" w:sz="4" w:space="0" w:color="auto"/>
              <w:bottom w:val="single" w:sz="4" w:space="0" w:color="auto"/>
              <w:right w:val="single" w:sz="4" w:space="0" w:color="auto"/>
            </w:tcBorders>
            <w:vAlign w:val="center"/>
          </w:tcPr>
          <w:p w14:paraId="6ABCC7E3" w14:textId="7D9555D6" w:rsidR="00E86FA7" w:rsidRPr="001531A4" w:rsidRDefault="00E86FA7" w:rsidP="00E86FA7">
            <w:pPr>
              <w:spacing w:after="0" w:line="240" w:lineRule="auto"/>
              <w:jc w:val="left"/>
              <w:rPr>
                <w:color w:val="000000" w:themeColor="text1"/>
                <w:sz w:val="18"/>
                <w:szCs w:val="18"/>
                <w:shd w:val="clear" w:color="auto" w:fill="FFFFFF"/>
              </w:rPr>
            </w:pPr>
            <w:r w:rsidRPr="002236B8">
              <w:rPr>
                <w:color w:val="000000" w:themeColor="text1"/>
                <w:sz w:val="18"/>
                <w:szCs w:val="18"/>
                <w:shd w:val="clear" w:color="auto" w:fill="FFFFFF"/>
              </w:rPr>
              <w:t xml:space="preserve">Sachinformationen zum Aufbau von Enzymen, </w:t>
            </w:r>
            <w:r>
              <w:rPr>
                <w:color w:val="000000" w:themeColor="text1"/>
                <w:sz w:val="18"/>
                <w:szCs w:val="18"/>
                <w:shd w:val="clear" w:color="auto" w:fill="FFFFFF"/>
              </w:rPr>
              <w:br/>
            </w:r>
            <w:r w:rsidRPr="002236B8">
              <w:rPr>
                <w:color w:val="000000" w:themeColor="text1"/>
                <w:sz w:val="18"/>
                <w:szCs w:val="18"/>
                <w:shd w:val="clear" w:color="auto" w:fill="FFFFFF"/>
              </w:rPr>
              <w:t>Begriffsbestimmungen (Apoenzym, Cofaktor etc.)</w:t>
            </w:r>
          </w:p>
        </w:tc>
      </w:tr>
      <w:tr w:rsidR="00E86FA7" w:rsidRPr="00E83D33" w14:paraId="060EEA08" w14:textId="77777777" w:rsidTr="00B47462">
        <w:trPr>
          <w:trHeight w:val="227"/>
        </w:trPr>
        <w:tc>
          <w:tcPr>
            <w:tcW w:w="184" w:type="pct"/>
            <w:tcBorders>
              <w:top w:val="single" w:sz="4" w:space="0" w:color="auto"/>
              <w:bottom w:val="single" w:sz="4" w:space="0" w:color="auto"/>
            </w:tcBorders>
            <w:vAlign w:val="center"/>
          </w:tcPr>
          <w:p w14:paraId="5D989CE5" w14:textId="2FA47D77" w:rsidR="00E86FA7" w:rsidRPr="00E83D33" w:rsidRDefault="00E86FA7" w:rsidP="00E86FA7">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4</w:t>
            </w:r>
          </w:p>
        </w:tc>
        <w:tc>
          <w:tcPr>
            <w:tcW w:w="2297" w:type="pct"/>
            <w:tcBorders>
              <w:top w:val="single" w:sz="4" w:space="0" w:color="auto"/>
              <w:left w:val="single" w:sz="4" w:space="0" w:color="auto"/>
              <w:bottom w:val="single" w:sz="4" w:space="0" w:color="auto"/>
              <w:right w:val="single" w:sz="4" w:space="0" w:color="auto"/>
            </w:tcBorders>
            <w:vAlign w:val="center"/>
          </w:tcPr>
          <w:p w14:paraId="42C7DF59" w14:textId="77777777" w:rsidR="00E86FA7" w:rsidRDefault="00000000" w:rsidP="00E86FA7">
            <w:pPr>
              <w:autoSpaceDN/>
              <w:spacing w:before="60" w:after="60" w:line="240" w:lineRule="auto"/>
              <w:jc w:val="left"/>
              <w:textAlignment w:val="auto"/>
              <w:rPr>
                <w:rFonts w:eastAsia="Times New Roman" w:cs="Times New Roman"/>
                <w:color w:val="000000" w:themeColor="text1"/>
                <w:sz w:val="18"/>
                <w:szCs w:val="18"/>
                <w:u w:val="single"/>
              </w:rPr>
            </w:pPr>
            <w:hyperlink r:id="rId11" w:history="1">
              <w:r w:rsidR="00E86FA7" w:rsidRPr="00B92D87">
                <w:rPr>
                  <w:rStyle w:val="Hyperlink"/>
                  <w:rFonts w:eastAsia="Times New Roman" w:cs="Times New Roman"/>
                  <w:sz w:val="18"/>
                  <w:szCs w:val="18"/>
                </w:rPr>
                <w:t>https://www.klartext-nahrungsergaenzung.de</w:t>
              </w:r>
            </w:hyperlink>
          </w:p>
          <w:p w14:paraId="4DC17543" w14:textId="70D1EE41" w:rsidR="00E86FA7" w:rsidRPr="00E83D33" w:rsidRDefault="00000000" w:rsidP="00E86FA7">
            <w:pPr>
              <w:autoSpaceDN/>
              <w:spacing w:before="60" w:after="60" w:line="240" w:lineRule="auto"/>
              <w:jc w:val="left"/>
              <w:textAlignment w:val="auto"/>
              <w:rPr>
                <w:rFonts w:eastAsia="Times New Roman" w:cs="Times New Roman"/>
                <w:color w:val="000000" w:themeColor="text1"/>
                <w:sz w:val="18"/>
                <w:szCs w:val="18"/>
                <w:u w:val="single"/>
              </w:rPr>
            </w:pPr>
            <w:hyperlink r:id="rId12" w:history="1">
              <w:r w:rsidR="00E86FA7" w:rsidRPr="00B92D87">
                <w:rPr>
                  <w:rStyle w:val="Hyperlink"/>
                  <w:rFonts w:eastAsia="Times New Roman" w:cs="Times New Roman"/>
                  <w:sz w:val="18"/>
                  <w:szCs w:val="18"/>
                </w:rPr>
                <w:t>https://www.klartext-nahrungsergaenzung.de/produkte/sport</w:t>
              </w:r>
            </w:hyperlink>
          </w:p>
        </w:tc>
        <w:tc>
          <w:tcPr>
            <w:tcW w:w="2519" w:type="pct"/>
            <w:tcBorders>
              <w:top w:val="single" w:sz="4" w:space="0" w:color="auto"/>
              <w:left w:val="single" w:sz="4" w:space="0" w:color="auto"/>
              <w:bottom w:val="single" w:sz="4" w:space="0" w:color="auto"/>
              <w:right w:val="single" w:sz="4" w:space="0" w:color="auto"/>
            </w:tcBorders>
            <w:vAlign w:val="center"/>
          </w:tcPr>
          <w:p w14:paraId="11BC7631" w14:textId="6D21084F" w:rsidR="00E86FA7" w:rsidRPr="00E83D33" w:rsidRDefault="00E86FA7" w:rsidP="00E86FA7">
            <w:pPr>
              <w:autoSpaceDN/>
              <w:spacing w:before="60" w:after="60" w:line="240" w:lineRule="auto"/>
              <w:jc w:val="left"/>
              <w:textAlignment w:val="auto"/>
              <w:rPr>
                <w:rFonts w:eastAsia="Times New Roman"/>
                <w:color w:val="000000" w:themeColor="text1"/>
                <w:sz w:val="18"/>
                <w:szCs w:val="18"/>
                <w:shd w:val="clear" w:color="auto" w:fill="FFFFFF"/>
              </w:rPr>
            </w:pPr>
            <w:r>
              <w:rPr>
                <w:rFonts w:eastAsia="Times New Roman"/>
                <w:color w:val="000000" w:themeColor="text1"/>
                <w:sz w:val="18"/>
                <w:szCs w:val="18"/>
                <w:shd w:val="clear" w:color="auto" w:fill="FFFFFF"/>
              </w:rPr>
              <w:t>Unabhängige und informative Seite der Verbraucherzentrale zu Nahrungse</w:t>
            </w:r>
            <w:r w:rsidR="00BB69C1">
              <w:rPr>
                <w:rFonts w:eastAsia="Times New Roman"/>
                <w:color w:val="000000" w:themeColor="text1"/>
                <w:sz w:val="18"/>
                <w:szCs w:val="18"/>
                <w:shd w:val="clear" w:color="auto" w:fill="FFFFFF"/>
              </w:rPr>
              <w:t>rgänzungsmitteln, z.B. im Sport</w:t>
            </w:r>
          </w:p>
        </w:tc>
      </w:tr>
      <w:tr w:rsidR="00E86FA7" w:rsidRPr="00E83D33" w14:paraId="4904BC5A" w14:textId="77777777" w:rsidTr="00B47462">
        <w:trPr>
          <w:trHeight w:val="227"/>
        </w:trPr>
        <w:tc>
          <w:tcPr>
            <w:tcW w:w="184" w:type="pct"/>
            <w:tcBorders>
              <w:top w:val="single" w:sz="4" w:space="0" w:color="auto"/>
            </w:tcBorders>
            <w:vAlign w:val="center"/>
          </w:tcPr>
          <w:p w14:paraId="0534D92D" w14:textId="1424ADE6" w:rsidR="00E86FA7" w:rsidRDefault="00E86FA7" w:rsidP="00E86FA7">
            <w:pPr>
              <w:autoSpaceDN/>
              <w:spacing w:before="60"/>
              <w:jc w:val="center"/>
              <w:textAlignment w:val="auto"/>
              <w:rPr>
                <w:rFonts w:eastAsia="Times New Roman" w:cs="Times New Roman"/>
                <w:color w:val="000000" w:themeColor="text1"/>
                <w:sz w:val="18"/>
                <w:szCs w:val="18"/>
              </w:rPr>
            </w:pPr>
            <w:r>
              <w:rPr>
                <w:rFonts w:eastAsia="Times New Roman" w:cs="Times New Roman"/>
                <w:color w:val="000000" w:themeColor="text1"/>
                <w:sz w:val="18"/>
                <w:szCs w:val="18"/>
              </w:rPr>
              <w:t>5</w:t>
            </w:r>
          </w:p>
        </w:tc>
        <w:tc>
          <w:tcPr>
            <w:tcW w:w="2297" w:type="pct"/>
            <w:tcBorders>
              <w:top w:val="single" w:sz="4" w:space="0" w:color="auto"/>
              <w:left w:val="single" w:sz="4" w:space="0" w:color="auto"/>
              <w:bottom w:val="single" w:sz="4" w:space="0" w:color="auto"/>
              <w:right w:val="single" w:sz="4" w:space="0" w:color="auto"/>
            </w:tcBorders>
            <w:vAlign w:val="center"/>
          </w:tcPr>
          <w:p w14:paraId="577C4387" w14:textId="77777777" w:rsidR="00E86FA7" w:rsidRDefault="00000000" w:rsidP="00E86FA7">
            <w:pPr>
              <w:autoSpaceDN/>
              <w:spacing w:before="60" w:after="60" w:line="240" w:lineRule="auto"/>
              <w:jc w:val="left"/>
              <w:textAlignment w:val="auto"/>
            </w:pPr>
            <w:hyperlink r:id="rId13" w:history="1">
              <w:r w:rsidR="00E86FA7" w:rsidRPr="00257968">
                <w:rPr>
                  <w:rStyle w:val="Hyperlink"/>
                  <w:sz w:val="18"/>
                  <w:szCs w:val="18"/>
                </w:rPr>
                <w:t>https://www.verbraucherzentrale.de/ernaehrungskompetenzen-im-sport</w:t>
              </w:r>
            </w:hyperlink>
          </w:p>
        </w:tc>
        <w:tc>
          <w:tcPr>
            <w:tcW w:w="2519" w:type="pct"/>
            <w:tcBorders>
              <w:top w:val="single" w:sz="4" w:space="0" w:color="auto"/>
              <w:left w:val="single" w:sz="4" w:space="0" w:color="auto"/>
              <w:bottom w:val="single" w:sz="4" w:space="0" w:color="auto"/>
              <w:right w:val="single" w:sz="4" w:space="0" w:color="auto"/>
            </w:tcBorders>
            <w:vAlign w:val="center"/>
          </w:tcPr>
          <w:p w14:paraId="55376403" w14:textId="4ADFB3D1" w:rsidR="00E86FA7" w:rsidRDefault="00E86FA7" w:rsidP="00E86FA7">
            <w:pPr>
              <w:autoSpaceDN/>
              <w:spacing w:before="60" w:after="60" w:line="240" w:lineRule="auto"/>
              <w:jc w:val="left"/>
              <w:textAlignment w:val="auto"/>
              <w:rPr>
                <w:rFonts w:eastAsia="Times New Roman"/>
                <w:color w:val="000000" w:themeColor="text1"/>
                <w:sz w:val="18"/>
                <w:szCs w:val="18"/>
                <w:shd w:val="clear" w:color="auto" w:fill="FFFFFF"/>
              </w:rPr>
            </w:pPr>
            <w:r>
              <w:rPr>
                <w:rFonts w:eastAsia="Times New Roman"/>
                <w:color w:val="000000" w:themeColor="text1"/>
                <w:sz w:val="18"/>
                <w:szCs w:val="18"/>
                <w:shd w:val="clear" w:color="auto" w:fill="FFFFFF"/>
              </w:rPr>
              <w:t>Seminarbausteine der Verbraucherzentrale Sachsen. M</w:t>
            </w:r>
            <w:r>
              <w:rPr>
                <w:rFonts w:eastAsia="Times New Roman"/>
                <w:sz w:val="18"/>
                <w:szCs w:val="18"/>
                <w:shd w:val="clear" w:color="auto" w:fill="FFFFFF"/>
              </w:rPr>
              <w:t>odul 6 beinhaltet umfassende Informationen, eine PPT-Präsentation und Arbeitsblätter zum Thema Nah</w:t>
            </w:r>
            <w:r w:rsidR="00BB69C1">
              <w:rPr>
                <w:rFonts w:eastAsia="Times New Roman"/>
                <w:sz w:val="18"/>
                <w:szCs w:val="18"/>
                <w:shd w:val="clear" w:color="auto" w:fill="FFFFFF"/>
              </w:rPr>
              <w:t>rungsergänzungsmittel im Sport</w:t>
            </w:r>
          </w:p>
        </w:tc>
      </w:tr>
    </w:tbl>
    <w:p w14:paraId="2BFF2FAF" w14:textId="497641AD" w:rsidR="008A3457" w:rsidRPr="008E61F3" w:rsidRDefault="00BB69C1" w:rsidP="008A3457">
      <w:pPr>
        <w:rPr>
          <w:sz w:val="18"/>
          <w:szCs w:val="18"/>
        </w:rPr>
      </w:pPr>
      <w:r>
        <w:rPr>
          <w:sz w:val="18"/>
          <w:szCs w:val="18"/>
        </w:rPr>
        <w:br/>
      </w:r>
      <w:r w:rsidR="009444F3">
        <w:rPr>
          <w:sz w:val="18"/>
          <w:szCs w:val="18"/>
        </w:rPr>
        <w:t>Letzter Zugriff auf die URL: 16.12</w:t>
      </w:r>
      <w:r w:rsidR="008A3457" w:rsidRPr="008E61F3">
        <w:rPr>
          <w:sz w:val="18"/>
          <w:szCs w:val="18"/>
        </w:rPr>
        <w:t>.2022</w:t>
      </w:r>
    </w:p>
    <w:p w14:paraId="77D5163A" w14:textId="77777777" w:rsidR="008A3457" w:rsidRDefault="008A3457" w:rsidP="008A3457">
      <w:pPr>
        <w:rPr>
          <w:rFonts w:eastAsia="Times New Roman"/>
          <w:i/>
          <w:iCs/>
          <w:sz w:val="18"/>
          <w:szCs w:val="18"/>
        </w:rPr>
      </w:pPr>
      <w:r>
        <w:rPr>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6442FA76" w14:textId="77777777" w:rsidR="00BA42C3" w:rsidRPr="004C53DA" w:rsidRDefault="00BA42C3" w:rsidP="00BA42C3"/>
    <w:sectPr w:rsidR="00BA42C3" w:rsidRPr="004C53DA" w:rsidSect="00C4755B">
      <w:headerReference w:type="default" r:id="rId14"/>
      <w:footerReference w:type="default" r:id="rId15"/>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D9A5" w14:textId="77777777" w:rsidR="001B354B" w:rsidRDefault="001B354B" w:rsidP="002236B8">
      <w:pPr>
        <w:spacing w:after="0" w:line="240" w:lineRule="auto"/>
      </w:pPr>
      <w:r>
        <w:separator/>
      </w:r>
    </w:p>
  </w:endnote>
  <w:endnote w:type="continuationSeparator" w:id="0">
    <w:p w14:paraId="69CF608D" w14:textId="77777777" w:rsidR="001B354B" w:rsidRDefault="001B354B" w:rsidP="0022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31392"/>
      <w:docPartObj>
        <w:docPartGallery w:val="Page Numbers (Bottom of Page)"/>
        <w:docPartUnique/>
      </w:docPartObj>
    </w:sdtPr>
    <w:sdtContent>
      <w:p w14:paraId="343EF899" w14:textId="2AD8893F" w:rsidR="00161801" w:rsidRDefault="00161801" w:rsidP="0032444B">
        <w:pPr>
          <w:pStyle w:val="Fuzeile"/>
          <w:jc w:val="right"/>
        </w:pPr>
        <w:r w:rsidRPr="00161801">
          <w:rPr>
            <w:sz w:val="18"/>
            <w:szCs w:val="18"/>
          </w:rPr>
          <w:fldChar w:fldCharType="begin"/>
        </w:r>
        <w:r w:rsidRPr="00161801">
          <w:rPr>
            <w:sz w:val="18"/>
            <w:szCs w:val="18"/>
          </w:rPr>
          <w:instrText>PAGE   \* MERGEFORMAT</w:instrText>
        </w:r>
        <w:r w:rsidRPr="00161801">
          <w:rPr>
            <w:sz w:val="18"/>
            <w:szCs w:val="18"/>
          </w:rPr>
          <w:fldChar w:fldCharType="separate"/>
        </w:r>
        <w:r w:rsidR="009444F3">
          <w:rPr>
            <w:noProof/>
            <w:sz w:val="18"/>
            <w:szCs w:val="18"/>
          </w:rPr>
          <w:t>4</w:t>
        </w:r>
        <w:r w:rsidRPr="00161801">
          <w:rPr>
            <w:sz w:val="18"/>
            <w:szCs w:val="18"/>
          </w:rPr>
          <w:fldChar w:fldCharType="end"/>
        </w:r>
      </w:p>
    </w:sdtContent>
  </w:sdt>
  <w:p w14:paraId="4D3ED901" w14:textId="32C9A067" w:rsidR="008724DA" w:rsidRPr="008724DA" w:rsidRDefault="0032444B" w:rsidP="0032444B">
    <w:pPr>
      <w:pStyle w:val="Fuzeile"/>
      <w:tabs>
        <w:tab w:val="clear" w:pos="4536"/>
        <w:tab w:val="clear" w:pos="9072"/>
        <w:tab w:val="left" w:pos="6600"/>
      </w:tabs>
      <w:rPr>
        <w:sz w:val="18"/>
        <w:szCs w:val="18"/>
      </w:rPr>
    </w:pPr>
    <w:r>
      <w:rPr>
        <w:sz w:val="18"/>
        <w:szCs w:val="18"/>
      </w:rPr>
      <w:tab/>
      <w:t>QUA-LiS NRW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1F2E" w14:textId="77777777" w:rsidR="001B354B" w:rsidRDefault="001B354B" w:rsidP="002236B8">
      <w:pPr>
        <w:spacing w:after="0" w:line="240" w:lineRule="auto"/>
      </w:pPr>
      <w:r>
        <w:separator/>
      </w:r>
    </w:p>
  </w:footnote>
  <w:footnote w:type="continuationSeparator" w:id="0">
    <w:p w14:paraId="1870C2E6" w14:textId="77777777" w:rsidR="001B354B" w:rsidRDefault="001B354B" w:rsidP="0022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FF80" w14:textId="30AB9FE3" w:rsidR="002236B8" w:rsidRPr="00B7781B" w:rsidRDefault="002236B8">
    <w:pPr>
      <w:pStyle w:val="Kopfzeile"/>
      <w:rPr>
        <w:sz w:val="20"/>
        <w:szCs w:val="20"/>
      </w:rPr>
    </w:pPr>
    <w:r w:rsidRPr="00B7781B">
      <w:rPr>
        <w:sz w:val="20"/>
        <w:szCs w:val="20"/>
      </w:rPr>
      <w:t>Konkretisierte</w:t>
    </w:r>
    <w:r w:rsidR="008F68AE">
      <w:rPr>
        <w:sz w:val="20"/>
        <w:szCs w:val="20"/>
      </w:rPr>
      <w:t>s</w:t>
    </w:r>
    <w:r w:rsidRPr="00B7781B">
      <w:rPr>
        <w:sz w:val="20"/>
        <w:szCs w:val="20"/>
      </w:rPr>
      <w:t xml:space="preserve"> Unterrichtsvorhaben</w:t>
    </w:r>
    <w:r w:rsidRPr="00B7781B">
      <w:rPr>
        <w:sz w:val="20"/>
        <w:szCs w:val="20"/>
      </w:rPr>
      <w:tab/>
    </w:r>
    <w:r w:rsidRPr="00B7781B">
      <w:rPr>
        <w:sz w:val="20"/>
        <w:szCs w:val="20"/>
      </w:rPr>
      <w:tab/>
    </w:r>
    <w:r w:rsidRPr="00B7781B">
      <w:rPr>
        <w:sz w:val="20"/>
        <w:szCs w:val="20"/>
      </w:rPr>
      <w:tab/>
    </w:r>
    <w:r w:rsidR="00B7781B" w:rsidRPr="00B7781B">
      <w:rPr>
        <w:sz w:val="20"/>
        <w:szCs w:val="20"/>
      </w:rPr>
      <w:t xml:space="preserve">                               </w:t>
    </w:r>
    <w:r w:rsidRPr="00B7781B">
      <w:rPr>
        <w:sz w:val="20"/>
        <w:szCs w:val="20"/>
      </w:rPr>
      <w:t xml:space="preserve">Qualifikationsphase </w:t>
    </w:r>
    <w:r w:rsidR="00B7781B" w:rsidRPr="00B7781B">
      <w:rPr>
        <w:sz w:val="20"/>
        <w:szCs w:val="20"/>
      </w:rPr>
      <w:t>– Grundkurs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48E"/>
    <w:multiLevelType w:val="hybridMultilevel"/>
    <w:tmpl w:val="E05E20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035826"/>
    <w:multiLevelType w:val="hybridMultilevel"/>
    <w:tmpl w:val="676610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211527"/>
    <w:multiLevelType w:val="hybridMultilevel"/>
    <w:tmpl w:val="306C2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B731D"/>
    <w:multiLevelType w:val="hybridMultilevel"/>
    <w:tmpl w:val="CB4E1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FC6ABB"/>
    <w:multiLevelType w:val="hybridMultilevel"/>
    <w:tmpl w:val="F9A4C1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3AA4F97"/>
    <w:multiLevelType w:val="hybridMultilevel"/>
    <w:tmpl w:val="7A1AAB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2C421DA"/>
    <w:multiLevelType w:val="hybridMultilevel"/>
    <w:tmpl w:val="2F067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7A1C24"/>
    <w:multiLevelType w:val="hybridMultilevel"/>
    <w:tmpl w:val="5A305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65B637BC"/>
    <w:multiLevelType w:val="hybridMultilevel"/>
    <w:tmpl w:val="4AECD8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29F2012"/>
    <w:multiLevelType w:val="hybridMultilevel"/>
    <w:tmpl w:val="20B28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854A16"/>
    <w:multiLevelType w:val="hybridMultilevel"/>
    <w:tmpl w:val="037AB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0933175">
    <w:abstractNumId w:val="5"/>
  </w:num>
  <w:num w:numId="2" w16cid:durableId="1170216624">
    <w:abstractNumId w:val="8"/>
  </w:num>
  <w:num w:numId="3" w16cid:durableId="289752055">
    <w:abstractNumId w:val="6"/>
  </w:num>
  <w:num w:numId="4" w16cid:durableId="761531588">
    <w:abstractNumId w:val="7"/>
  </w:num>
  <w:num w:numId="5" w16cid:durableId="1638294837">
    <w:abstractNumId w:val="11"/>
  </w:num>
  <w:num w:numId="6" w16cid:durableId="397482444">
    <w:abstractNumId w:val="2"/>
  </w:num>
  <w:num w:numId="7" w16cid:durableId="2093118271">
    <w:abstractNumId w:val="4"/>
  </w:num>
  <w:num w:numId="8" w16cid:durableId="1240402571">
    <w:abstractNumId w:val="3"/>
  </w:num>
  <w:num w:numId="9" w16cid:durableId="2050639365">
    <w:abstractNumId w:val="10"/>
  </w:num>
  <w:num w:numId="10" w16cid:durableId="1961109129">
    <w:abstractNumId w:val="1"/>
  </w:num>
  <w:num w:numId="11" w16cid:durableId="874923783">
    <w:abstractNumId w:val="8"/>
  </w:num>
  <w:num w:numId="12" w16cid:durableId="586154890">
    <w:abstractNumId w:val="8"/>
  </w:num>
  <w:num w:numId="13" w16cid:durableId="593898462">
    <w:abstractNumId w:val="8"/>
  </w:num>
  <w:num w:numId="14" w16cid:durableId="806315652">
    <w:abstractNumId w:val="9"/>
  </w:num>
  <w:num w:numId="15" w16cid:durableId="161883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b024324-ed32-4162-9f36-0017cb20a5e2}"/>
  </w:docVars>
  <w:rsids>
    <w:rsidRoot w:val="00BE5CCB"/>
    <w:rsid w:val="00012AE9"/>
    <w:rsid w:val="000236AA"/>
    <w:rsid w:val="00043F56"/>
    <w:rsid w:val="00062215"/>
    <w:rsid w:val="000A5BAD"/>
    <w:rsid w:val="00131E60"/>
    <w:rsid w:val="0016043D"/>
    <w:rsid w:val="00161801"/>
    <w:rsid w:val="00174F0D"/>
    <w:rsid w:val="001A58AC"/>
    <w:rsid w:val="001B354B"/>
    <w:rsid w:val="00205D6E"/>
    <w:rsid w:val="00212028"/>
    <w:rsid w:val="002236B8"/>
    <w:rsid w:val="0025079E"/>
    <w:rsid w:val="00253DE6"/>
    <w:rsid w:val="00255B0F"/>
    <w:rsid w:val="002577DF"/>
    <w:rsid w:val="00276C6B"/>
    <w:rsid w:val="002815EA"/>
    <w:rsid w:val="002F205A"/>
    <w:rsid w:val="00313534"/>
    <w:rsid w:val="0032444B"/>
    <w:rsid w:val="003627F7"/>
    <w:rsid w:val="00371104"/>
    <w:rsid w:val="0041617D"/>
    <w:rsid w:val="00424BB1"/>
    <w:rsid w:val="00436D2F"/>
    <w:rsid w:val="00447E22"/>
    <w:rsid w:val="0049008F"/>
    <w:rsid w:val="004919AB"/>
    <w:rsid w:val="00494B1B"/>
    <w:rsid w:val="00495EA9"/>
    <w:rsid w:val="004A2164"/>
    <w:rsid w:val="004A62F6"/>
    <w:rsid w:val="004C6132"/>
    <w:rsid w:val="004D1FF6"/>
    <w:rsid w:val="004E2CA8"/>
    <w:rsid w:val="004E4418"/>
    <w:rsid w:val="0056776A"/>
    <w:rsid w:val="005A269D"/>
    <w:rsid w:val="005B3C7E"/>
    <w:rsid w:val="005B44AD"/>
    <w:rsid w:val="005C5520"/>
    <w:rsid w:val="005E49E6"/>
    <w:rsid w:val="00604206"/>
    <w:rsid w:val="0064155D"/>
    <w:rsid w:val="0066745A"/>
    <w:rsid w:val="00681EB7"/>
    <w:rsid w:val="006E4E39"/>
    <w:rsid w:val="007175C3"/>
    <w:rsid w:val="00756AAE"/>
    <w:rsid w:val="00766060"/>
    <w:rsid w:val="007807E7"/>
    <w:rsid w:val="00780FA7"/>
    <w:rsid w:val="007B485D"/>
    <w:rsid w:val="00821E62"/>
    <w:rsid w:val="00822D3C"/>
    <w:rsid w:val="008274F3"/>
    <w:rsid w:val="00832A14"/>
    <w:rsid w:val="0086084C"/>
    <w:rsid w:val="008724DA"/>
    <w:rsid w:val="00891C4B"/>
    <w:rsid w:val="008A3457"/>
    <w:rsid w:val="008B5C5E"/>
    <w:rsid w:val="008E1621"/>
    <w:rsid w:val="008F68AE"/>
    <w:rsid w:val="00911A0F"/>
    <w:rsid w:val="009444F3"/>
    <w:rsid w:val="00947F92"/>
    <w:rsid w:val="00961539"/>
    <w:rsid w:val="009615D0"/>
    <w:rsid w:val="00963CAA"/>
    <w:rsid w:val="00964268"/>
    <w:rsid w:val="009C1B9C"/>
    <w:rsid w:val="00A07899"/>
    <w:rsid w:val="00A86B88"/>
    <w:rsid w:val="00AB0827"/>
    <w:rsid w:val="00AB4D28"/>
    <w:rsid w:val="00AD747C"/>
    <w:rsid w:val="00B47462"/>
    <w:rsid w:val="00B7781B"/>
    <w:rsid w:val="00BA42C3"/>
    <w:rsid w:val="00BA71BC"/>
    <w:rsid w:val="00BB69C1"/>
    <w:rsid w:val="00BE1B8D"/>
    <w:rsid w:val="00BE5CCB"/>
    <w:rsid w:val="00BF1E42"/>
    <w:rsid w:val="00C22C70"/>
    <w:rsid w:val="00C35FA6"/>
    <w:rsid w:val="00C42CA4"/>
    <w:rsid w:val="00C45499"/>
    <w:rsid w:val="00C76A29"/>
    <w:rsid w:val="00CA50A0"/>
    <w:rsid w:val="00CE126A"/>
    <w:rsid w:val="00CE19BF"/>
    <w:rsid w:val="00D546FF"/>
    <w:rsid w:val="00D609E5"/>
    <w:rsid w:val="00D871B7"/>
    <w:rsid w:val="00DB7D21"/>
    <w:rsid w:val="00E0213B"/>
    <w:rsid w:val="00E1549F"/>
    <w:rsid w:val="00E311F2"/>
    <w:rsid w:val="00E37E96"/>
    <w:rsid w:val="00E42C3A"/>
    <w:rsid w:val="00E52525"/>
    <w:rsid w:val="00E847FC"/>
    <w:rsid w:val="00E86FA7"/>
    <w:rsid w:val="00EA047F"/>
    <w:rsid w:val="00F56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21D64"/>
  <w15:chartTrackingRefBased/>
  <w15:docId w15:val="{BA42FAAC-D930-D849-82DD-5B22687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5CCB"/>
    <w:pPr>
      <w:autoSpaceDN w:val="0"/>
      <w:spacing w:after="200" w:line="276" w:lineRule="auto"/>
      <w:jc w:val="both"/>
      <w:textAlignment w:val="baseline"/>
    </w:pPr>
    <w:rPr>
      <w:rFonts w:ascii="Arial" w:eastAsia="Arial" w:hAnsi="Arial" w:cs="Arial"/>
      <w:sz w:val="22"/>
      <w:szCs w:val="22"/>
    </w:rPr>
  </w:style>
  <w:style w:type="paragraph" w:styleId="berschrift1">
    <w:name w:val="heading 1"/>
    <w:basedOn w:val="Standard"/>
    <w:next w:val="berschrift2"/>
    <w:link w:val="berschrift1Zchn"/>
    <w:uiPriority w:val="9"/>
    <w:qFormat/>
    <w:rsid w:val="00BA42C3"/>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link w:val="berschrift2Zchn"/>
    <w:uiPriority w:val="9"/>
    <w:semiHidden/>
    <w:unhideWhenUsed/>
    <w:qFormat/>
    <w:rsid w:val="00BA42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VGrundtext">
    <w:name w:val="UV_Grundtext"/>
    <w:basedOn w:val="Standard"/>
    <w:rsid w:val="00BE5CCB"/>
    <w:pPr>
      <w:spacing w:after="60" w:line="240" w:lineRule="auto"/>
      <w:jc w:val="left"/>
    </w:pPr>
    <w:rPr>
      <w:rFonts w:eastAsia="Times New Roman"/>
      <w:iCs/>
      <w:sz w:val="18"/>
      <w:szCs w:val="16"/>
      <w:lang w:eastAsia="de-DE"/>
    </w:rPr>
  </w:style>
  <w:style w:type="paragraph" w:customStyle="1" w:styleId="UVuListe">
    <w:name w:val="UV_uListe"/>
    <w:basedOn w:val="UVGrundtext"/>
    <w:rsid w:val="00BE5CCB"/>
    <w:pPr>
      <w:widowControl w:val="0"/>
      <w:numPr>
        <w:numId w:val="2"/>
      </w:numPr>
    </w:pPr>
    <w:rPr>
      <w:szCs w:val="18"/>
    </w:rPr>
  </w:style>
  <w:style w:type="numbering" w:customStyle="1" w:styleId="WWNum3a">
    <w:name w:val="WWNum3a"/>
    <w:basedOn w:val="KeineListe"/>
    <w:rsid w:val="00BE5CCB"/>
    <w:pPr>
      <w:numPr>
        <w:numId w:val="2"/>
      </w:numPr>
    </w:pPr>
  </w:style>
  <w:style w:type="character" w:styleId="Kommentarzeichen">
    <w:name w:val="annotation reference"/>
    <w:basedOn w:val="Absatz-Standardschriftart"/>
    <w:uiPriority w:val="99"/>
    <w:semiHidden/>
    <w:unhideWhenUsed/>
    <w:rsid w:val="00BE5CCB"/>
    <w:rPr>
      <w:sz w:val="16"/>
      <w:szCs w:val="16"/>
    </w:rPr>
  </w:style>
  <w:style w:type="paragraph" w:styleId="Kommentartext">
    <w:name w:val="annotation text"/>
    <w:basedOn w:val="Standard"/>
    <w:link w:val="KommentartextZchn"/>
    <w:uiPriority w:val="99"/>
    <w:unhideWhenUsed/>
    <w:rsid w:val="00BE5CCB"/>
    <w:pPr>
      <w:spacing w:line="240" w:lineRule="auto"/>
    </w:pPr>
    <w:rPr>
      <w:sz w:val="20"/>
      <w:szCs w:val="20"/>
    </w:rPr>
  </w:style>
  <w:style w:type="character" w:customStyle="1" w:styleId="KommentartextZchn">
    <w:name w:val="Kommentartext Zchn"/>
    <w:basedOn w:val="Absatz-Standardschriftart"/>
    <w:link w:val="Kommentartext"/>
    <w:uiPriority w:val="99"/>
    <w:rsid w:val="00BE5CCB"/>
    <w:rPr>
      <w:rFonts w:ascii="Arial" w:eastAsia="Arial" w:hAnsi="Arial" w:cs="Arial"/>
      <w:sz w:val="20"/>
      <w:szCs w:val="20"/>
    </w:rPr>
  </w:style>
  <w:style w:type="character" w:styleId="Hyperlink">
    <w:name w:val="Hyperlink"/>
    <w:basedOn w:val="Absatz-Standardschriftart"/>
    <w:uiPriority w:val="99"/>
    <w:unhideWhenUsed/>
    <w:rsid w:val="00BE5CCB"/>
    <w:rPr>
      <w:color w:val="0563C1" w:themeColor="hyperlink"/>
      <w:u w:val="single"/>
    </w:rPr>
  </w:style>
  <w:style w:type="character" w:styleId="BesuchterLink">
    <w:name w:val="FollowedHyperlink"/>
    <w:basedOn w:val="Absatz-Standardschriftart"/>
    <w:uiPriority w:val="99"/>
    <w:semiHidden/>
    <w:unhideWhenUsed/>
    <w:rsid w:val="00E52525"/>
    <w:rPr>
      <w:color w:val="954F72" w:themeColor="followedHyperlink"/>
      <w:u w:val="single"/>
    </w:rPr>
  </w:style>
  <w:style w:type="character" w:customStyle="1" w:styleId="berschrift1Zchn">
    <w:name w:val="Überschrift 1 Zchn"/>
    <w:basedOn w:val="Absatz-Standardschriftart"/>
    <w:link w:val="berschrift1"/>
    <w:uiPriority w:val="9"/>
    <w:rsid w:val="00BA42C3"/>
    <w:rPr>
      <w:rFonts w:ascii="Arial" w:eastAsia="Times New Roman" w:hAnsi="Arial" w:cs="Arial"/>
      <w:b/>
      <w:caps/>
      <w:sz w:val="20"/>
      <w:szCs w:val="22"/>
      <w:lang w:eastAsia="de-DE"/>
    </w:rPr>
  </w:style>
  <w:style w:type="paragraph" w:styleId="Listenabsatz">
    <w:name w:val="List Paragraph"/>
    <w:basedOn w:val="Standard"/>
    <w:rsid w:val="00BA42C3"/>
  </w:style>
  <w:style w:type="paragraph" w:customStyle="1" w:styleId="UVLeitfrage">
    <w:name w:val="UV_Leitfrage"/>
    <w:basedOn w:val="UVGrundtext"/>
    <w:rsid w:val="00BA42C3"/>
    <w:pPr>
      <w:widowControl w:val="0"/>
      <w:spacing w:after="80"/>
    </w:pPr>
    <w:rPr>
      <w:i/>
      <w:szCs w:val="18"/>
    </w:rPr>
  </w:style>
  <w:style w:type="character" w:customStyle="1" w:styleId="berschrift2Zchn">
    <w:name w:val="Überschrift 2 Zchn"/>
    <w:basedOn w:val="Absatz-Standardschriftart"/>
    <w:link w:val="berschrift2"/>
    <w:uiPriority w:val="9"/>
    <w:semiHidden/>
    <w:rsid w:val="00BA42C3"/>
    <w:rPr>
      <w:rFonts w:asciiTheme="majorHAnsi" w:eastAsiaTheme="majorEastAsia" w:hAnsiTheme="majorHAnsi" w:cstheme="majorBidi"/>
      <w:color w:val="2F5496" w:themeColor="accent1" w:themeShade="BF"/>
      <w:sz w:val="26"/>
      <w:szCs w:val="26"/>
    </w:rPr>
  </w:style>
  <w:style w:type="paragraph" w:styleId="Kommentarthema">
    <w:name w:val="annotation subject"/>
    <w:basedOn w:val="Kommentartext"/>
    <w:next w:val="Kommentartext"/>
    <w:link w:val="KommentarthemaZchn"/>
    <w:uiPriority w:val="99"/>
    <w:semiHidden/>
    <w:unhideWhenUsed/>
    <w:rsid w:val="004E4418"/>
    <w:rPr>
      <w:b/>
      <w:bCs/>
    </w:rPr>
  </w:style>
  <w:style w:type="character" w:customStyle="1" w:styleId="KommentarthemaZchn">
    <w:name w:val="Kommentarthema Zchn"/>
    <w:basedOn w:val="KommentartextZchn"/>
    <w:link w:val="Kommentarthema"/>
    <w:uiPriority w:val="99"/>
    <w:semiHidden/>
    <w:rsid w:val="004E4418"/>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4E44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4418"/>
    <w:rPr>
      <w:rFonts w:ascii="Segoe UI" w:eastAsia="Arial" w:hAnsi="Segoe UI" w:cs="Segoe UI"/>
      <w:sz w:val="18"/>
      <w:szCs w:val="18"/>
    </w:rPr>
  </w:style>
  <w:style w:type="paragraph" w:styleId="Kopfzeile">
    <w:name w:val="header"/>
    <w:basedOn w:val="Standard"/>
    <w:link w:val="KopfzeileZchn"/>
    <w:uiPriority w:val="99"/>
    <w:unhideWhenUsed/>
    <w:rsid w:val="002236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6B8"/>
    <w:rPr>
      <w:rFonts w:ascii="Arial" w:eastAsia="Arial" w:hAnsi="Arial" w:cs="Arial"/>
      <w:sz w:val="22"/>
      <w:szCs w:val="22"/>
    </w:rPr>
  </w:style>
  <w:style w:type="paragraph" w:styleId="Fuzeile">
    <w:name w:val="footer"/>
    <w:basedOn w:val="Standard"/>
    <w:link w:val="FuzeileZchn"/>
    <w:uiPriority w:val="99"/>
    <w:unhideWhenUsed/>
    <w:rsid w:val="002236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6B8"/>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view/6086" TargetMode="External"/><Relationship Id="rId13" Type="http://schemas.openxmlformats.org/officeDocument/2006/relationships/hyperlink" Target="https://www.verbraucherzentrale.de/ernaehrungskompetenzen-im-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artext-nahrungsergaenzung.de/produkte/spor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rtext-nahrungsergaenzung.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hulentwicklung.nrw.de/materialdatenbank/material/view/6053" TargetMode="External"/><Relationship Id="rId4" Type="http://schemas.openxmlformats.org/officeDocument/2006/relationships/settings" Target="settings.xml"/><Relationship Id="rId9" Type="http://schemas.openxmlformats.org/officeDocument/2006/relationships/hyperlink" Target="http://www.chemgapedia.de/vsengine/vlu/vsc/de/ch/8/bc/vlu/biokatalyse_enzyme/cofaktoren.vlu/Page/vsc/de/ch/8/bc/biokatalyse/vitamine_coenzyme.vscml.html"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1BDE-EFED-42E6-9587-94837E2A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5781</Characters>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2022-11-29T11:02:00Z</dcterms:created>
  <dcterms:modified xsi:type="dcterms:W3CDTF">2022-12-19T10:10:00Z</dcterms:modified>
</cp:coreProperties>
</file>