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CB49" w14:textId="77777777" w:rsidR="007062DE" w:rsidRDefault="007062DE" w:rsidP="007062DE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49EE7A" wp14:editId="684E76F7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2390EE" w14:textId="77777777" w:rsidR="007062DE" w:rsidRDefault="007062DE" w:rsidP="007062DE">
      <w:pPr>
        <w:jc w:val="center"/>
        <w:rPr>
          <w:b/>
          <w:bCs/>
          <w:sz w:val="24"/>
          <w:szCs w:val="24"/>
        </w:rPr>
      </w:pPr>
    </w:p>
    <w:p w14:paraId="497BB308" w14:textId="77777777" w:rsidR="007062DE" w:rsidRDefault="007062DE" w:rsidP="007062DE">
      <w:pPr>
        <w:jc w:val="center"/>
        <w:rPr>
          <w:b/>
          <w:bCs/>
          <w:sz w:val="24"/>
          <w:szCs w:val="24"/>
        </w:rPr>
      </w:pPr>
    </w:p>
    <w:p w14:paraId="29901911" w14:textId="77777777" w:rsidR="007062DE" w:rsidRPr="00B51B5E" w:rsidRDefault="007062DE" w:rsidP="007062DE">
      <w:pPr>
        <w:ind w:right="-142"/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der</w:t>
      </w:r>
      <w:r w:rsidRPr="00B51B5E">
        <w:rPr>
          <w:b/>
          <w:bCs/>
          <w:sz w:val="24"/>
          <w:szCs w:val="24"/>
        </w:rPr>
        <w:t xml:space="preserve"> Ziele</w:t>
      </w:r>
      <w:r>
        <w:rPr>
          <w:b/>
          <w:bCs/>
          <w:sz w:val="24"/>
          <w:szCs w:val="24"/>
        </w:rPr>
        <w:t xml:space="preserve"> und Inhaltsbereiche der Leitlinie „</w:t>
      </w:r>
      <w:r w:rsidRPr="002B268E">
        <w:rPr>
          <w:b/>
          <w:bCs/>
          <w:sz w:val="24"/>
          <w:szCs w:val="24"/>
        </w:rPr>
        <w:t xml:space="preserve">Bildung für nachhaltige </w:t>
      </w:r>
      <w:r>
        <w:rPr>
          <w:b/>
          <w:bCs/>
          <w:sz w:val="24"/>
          <w:szCs w:val="24"/>
        </w:rPr>
        <w:t>E</w:t>
      </w:r>
      <w:r w:rsidRPr="002B268E">
        <w:rPr>
          <w:b/>
          <w:bCs/>
          <w:sz w:val="24"/>
          <w:szCs w:val="24"/>
        </w:rPr>
        <w:t>ntwicklung</w:t>
      </w:r>
      <w:r>
        <w:rPr>
          <w:b/>
          <w:bCs/>
          <w:sz w:val="24"/>
          <w:szCs w:val="24"/>
        </w:rPr>
        <w:t>“</w:t>
      </w:r>
    </w:p>
    <w:p w14:paraId="5A0214BA" w14:textId="439BDC95" w:rsidR="003854D1" w:rsidRDefault="007062DE" w:rsidP="004A5122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Mathematik</w:t>
      </w:r>
      <w:r w:rsidRPr="006862DB">
        <w:rPr>
          <w:b/>
          <w:bCs/>
          <w:sz w:val="24"/>
          <w:szCs w:val="24"/>
        </w:rPr>
        <w:t xml:space="preserve"> </w:t>
      </w:r>
      <w:r w:rsidRPr="00B51B5E">
        <w:rPr>
          <w:b/>
          <w:bCs/>
          <w:sz w:val="24"/>
          <w:szCs w:val="24"/>
        </w:rPr>
        <w:t xml:space="preserve">für die </w:t>
      </w:r>
      <w:r>
        <w:rPr>
          <w:b/>
          <w:bCs/>
          <w:sz w:val="24"/>
          <w:szCs w:val="24"/>
        </w:rPr>
        <w:t>gymnasiale Oberstufe</w:t>
      </w:r>
    </w:p>
    <w:p w14:paraId="776813CF" w14:textId="77777777" w:rsidR="004A5122" w:rsidRPr="004A5122" w:rsidRDefault="004A5122" w:rsidP="004A5122">
      <w:pPr>
        <w:jc w:val="center"/>
        <w:rPr>
          <w:sz w:val="24"/>
          <w:szCs w:val="24"/>
        </w:rPr>
      </w:pPr>
    </w:p>
    <w:p w14:paraId="1CE201D5" w14:textId="77777777" w:rsidR="005F34F5" w:rsidRPr="007062DE" w:rsidRDefault="00BA5A22" w:rsidP="00BA5A22">
      <w:pPr>
        <w:rPr>
          <w:rFonts w:cs="Arial"/>
          <w:color w:val="000000" w:themeColor="text1"/>
          <w:kern w:val="24"/>
          <w:sz w:val="24"/>
        </w:rPr>
      </w:pPr>
      <w:r w:rsidRPr="007062DE">
        <w:rPr>
          <w:rFonts w:cs="Arial"/>
          <w:color w:val="000000" w:themeColor="text1"/>
          <w:kern w:val="24"/>
          <w:sz w:val="24"/>
        </w:rPr>
        <w:t xml:space="preserve">Anwendungsbezüge und Kontexte des Mathematikunterrichts werden auf der Ebene schulischer Absprachen und auf der Ebene der konkreten Unterrichtsplanung festgelegt. Zur Integration der Ziele </w:t>
      </w:r>
      <w:r w:rsidR="003B238A" w:rsidRPr="007062DE">
        <w:rPr>
          <w:rFonts w:cs="Arial"/>
          <w:color w:val="000000" w:themeColor="text1"/>
          <w:kern w:val="24"/>
          <w:sz w:val="24"/>
        </w:rPr>
        <w:t xml:space="preserve">und Inhaltsbereiche </w:t>
      </w:r>
      <w:r w:rsidRPr="007062DE">
        <w:rPr>
          <w:rFonts w:cs="Arial"/>
          <w:color w:val="000000" w:themeColor="text1"/>
          <w:kern w:val="24"/>
          <w:sz w:val="24"/>
        </w:rPr>
        <w:t>der Leitlinie „Bildung für nachhaltige Entwicklung“ bieten sich hierzu die Unterrichtsplanungen zu folgenden Kompetenzerwartungen an:</w:t>
      </w:r>
    </w:p>
    <w:p w14:paraId="256D0F30" w14:textId="77777777" w:rsidR="007062DE" w:rsidRDefault="007062DE" w:rsidP="007062DE">
      <w:pPr>
        <w:rPr>
          <w:rFonts w:cstheme="minorHAnsi"/>
        </w:rPr>
      </w:pPr>
    </w:p>
    <w:p w14:paraId="63EC70DD" w14:textId="77777777" w:rsidR="00387BC0" w:rsidRPr="007062DE" w:rsidRDefault="007062DE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00B2B29E" w14:textId="77777777" w:rsidR="007062DE" w:rsidRDefault="000C5700" w:rsidP="000C5700">
      <w:pPr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Ope-10: </w:t>
      </w:r>
    </w:p>
    <w:p w14:paraId="627B1330" w14:textId="77777777" w:rsidR="000C5700" w:rsidRPr="007062DE" w:rsidRDefault="000C570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recherchieren Informationen und Daten aus Medienangeboten (Printmedien, Internet und Formelsammlungen)</w:t>
      </w:r>
      <w:r w:rsidRPr="000C5700">
        <w:t xml:space="preserve"> </w:t>
      </w:r>
      <w:r>
        <w:t>und reflektieren diese kritisch,</w:t>
      </w:r>
    </w:p>
    <w:p w14:paraId="269C16B2" w14:textId="77777777" w:rsidR="007062DE" w:rsidRDefault="000C5700" w:rsidP="000F3EF0">
      <w:pPr>
        <w:rPr>
          <w:rFonts w:cs="Arial"/>
          <w:kern w:val="24"/>
        </w:rPr>
      </w:pPr>
      <w:r>
        <w:rPr>
          <w:rFonts w:cs="Arial"/>
          <w:kern w:val="24"/>
        </w:rPr>
        <w:t xml:space="preserve">Mod-1: </w:t>
      </w:r>
    </w:p>
    <w:p w14:paraId="4D1F6C13" w14:textId="77777777" w:rsidR="000C5700" w:rsidRDefault="000C570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0C5700">
        <w:rPr>
          <w:rFonts w:cs="Arial"/>
          <w:kern w:val="24"/>
        </w:rPr>
        <w:t>erfassen und strukturieren zunehmend komplexe reale Situationen mit Blick auf eine konkrete Fragestellung,</w:t>
      </w:r>
    </w:p>
    <w:p w14:paraId="498204B2" w14:textId="77777777" w:rsidR="007062DE" w:rsidRDefault="000C5700" w:rsidP="000F3EF0">
      <w:pPr>
        <w:rPr>
          <w:rFonts w:cs="Arial"/>
          <w:kern w:val="24"/>
        </w:rPr>
      </w:pPr>
      <w:r>
        <w:rPr>
          <w:rFonts w:cs="Arial"/>
          <w:kern w:val="24"/>
        </w:rPr>
        <w:t xml:space="preserve">Mod-3: </w:t>
      </w:r>
    </w:p>
    <w:p w14:paraId="1BFAFACE" w14:textId="77777777" w:rsidR="000C5700" w:rsidRDefault="000C570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0C5700">
        <w:rPr>
          <w:rFonts w:cs="Arial"/>
          <w:kern w:val="24"/>
        </w:rPr>
        <w:t>übersetzen zunehmend komplexe reale Situationen in mathematische Modelle,</w:t>
      </w:r>
    </w:p>
    <w:p w14:paraId="06747806" w14:textId="77777777" w:rsidR="007062DE" w:rsidRDefault="000F3EF0" w:rsidP="000F3EF0">
      <w:pPr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Kom-1: </w:t>
      </w:r>
    </w:p>
    <w:p w14:paraId="3D2D20B9" w14:textId="77777777" w:rsidR="000F3EF0" w:rsidRPr="00680621" w:rsidRDefault="000F3EF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843A4A">
        <w:rPr>
          <w:rFonts w:cs="Arial"/>
          <w:kern w:val="24"/>
        </w:rPr>
        <w:t>erfassen</w:t>
      </w:r>
      <w:r w:rsidRPr="00680621">
        <w:rPr>
          <w:rFonts w:cs="Arial"/>
          <w:kern w:val="24"/>
        </w:rPr>
        <w:t>, strukturieren und formalisieren Informationen aus zunehmend komplexen mathematikhaltigen analogen und digitalen Quellen sowie aus mathematischen Fachtexten und Unterrichtsbeiträgen,</w:t>
      </w:r>
    </w:p>
    <w:p w14:paraId="074D28EF" w14:textId="77777777" w:rsidR="007062DE" w:rsidRDefault="000F3EF0" w:rsidP="000F3EF0">
      <w:pPr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Kom-14: </w:t>
      </w:r>
    </w:p>
    <w:p w14:paraId="3628167E" w14:textId="77777777" w:rsidR="000F3EF0" w:rsidRPr="00680621" w:rsidRDefault="000F3EF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680621">
        <w:rPr>
          <w:rFonts w:cs="Arial"/>
          <w:kern w:val="24"/>
        </w:rPr>
        <w:t>vergleichen und beurteilen mathematikhaltige Informationen und Darstellungen in Alltagsmedien unter mathematischen Gesichtspunkten,</w:t>
      </w:r>
    </w:p>
    <w:p w14:paraId="3AF3A60F" w14:textId="77777777" w:rsidR="007062DE" w:rsidRDefault="000C5700" w:rsidP="000F3EF0">
      <w:r>
        <w:t>GK-A(1</w:t>
      </w:r>
      <w:r w:rsidR="00B01B52">
        <w:t>0</w:t>
      </w:r>
      <w:r w:rsidR="00894062">
        <w:t>)</w:t>
      </w:r>
      <w:r>
        <w:t xml:space="preserve"> </w:t>
      </w:r>
      <w:r w:rsidR="00894062">
        <w:t>/</w:t>
      </w:r>
      <w:r>
        <w:t xml:space="preserve"> </w:t>
      </w:r>
      <w:r w:rsidR="00894062">
        <w:t xml:space="preserve">LK-A(11): </w:t>
      </w:r>
    </w:p>
    <w:p w14:paraId="30364F76" w14:textId="77777777" w:rsidR="00894062" w:rsidRPr="007062DE" w:rsidRDefault="00894062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verwenden Exponentialfunktionen zur Beschreibung von begrenzten und unbegrenzten Wachstums- sowie Zerfallsvorgängen und beurteilen die Qualität der Modellierung,</w:t>
      </w:r>
    </w:p>
    <w:p w14:paraId="2E933CAF" w14:textId="77777777" w:rsidR="007062DE" w:rsidRDefault="00894062" w:rsidP="000F3EF0">
      <w:r>
        <w:t>GK-A(</w:t>
      </w:r>
      <w:r w:rsidR="000C5700">
        <w:t>20</w:t>
      </w:r>
      <w:r>
        <w:t xml:space="preserve">): </w:t>
      </w:r>
    </w:p>
    <w:p w14:paraId="618BBEBE" w14:textId="77777777" w:rsidR="00894062" w:rsidRPr="007062DE" w:rsidRDefault="00894062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 xml:space="preserve">lösen innermathematische und anwendungsbezogene Problemstellungen </w:t>
      </w:r>
      <w:r w:rsidR="00B44BC0" w:rsidRPr="007062DE">
        <w:rPr>
          <w:rFonts w:cs="Arial"/>
          <w:kern w:val="24"/>
        </w:rPr>
        <w:t>mithilfe von ganzrationalen Funktionen, der natürlichen Exponentialfunktion und daraus zusammengesetzten Funktionen,</w:t>
      </w:r>
    </w:p>
    <w:p w14:paraId="49216F91" w14:textId="77777777" w:rsidR="007062DE" w:rsidRDefault="007062DE" w:rsidP="000F3EF0"/>
    <w:p w14:paraId="22C1E0C6" w14:textId="77777777" w:rsidR="007062DE" w:rsidRDefault="007062DE" w:rsidP="000F3EF0"/>
    <w:p w14:paraId="02D8D045" w14:textId="77777777" w:rsidR="007062DE" w:rsidRDefault="00894062" w:rsidP="000F3EF0">
      <w:r>
        <w:lastRenderedPageBreak/>
        <w:t xml:space="preserve">LK-A(23): </w:t>
      </w:r>
    </w:p>
    <w:p w14:paraId="52BA8D5B" w14:textId="77777777" w:rsidR="00894062" w:rsidRPr="007062DE" w:rsidRDefault="00894062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lösen innermathematische und anwendungsbezogene Problemstellungen mithilfe von ganzrationalen Funktionen, Exponentialfunktionen und daraus zusammengesetzte</w:t>
      </w:r>
      <w:r w:rsidR="00B44BC0" w:rsidRPr="007062DE">
        <w:rPr>
          <w:rFonts w:cs="Arial"/>
          <w:kern w:val="24"/>
        </w:rPr>
        <w:t>n</w:t>
      </w:r>
      <w:r w:rsidRPr="007062DE">
        <w:rPr>
          <w:rFonts w:cs="Arial"/>
          <w:kern w:val="24"/>
        </w:rPr>
        <w:t xml:space="preserve"> Funktionen sowie mithilfe von Sinus</w:t>
      </w:r>
      <w:r w:rsidR="00B44BC0" w:rsidRPr="007062DE">
        <w:rPr>
          <w:rFonts w:cs="Arial"/>
          <w:kern w:val="24"/>
        </w:rPr>
        <w:t xml:space="preserve">- und </w:t>
      </w:r>
      <w:proofErr w:type="spellStart"/>
      <w:r w:rsidR="00B44BC0" w:rsidRPr="007062DE">
        <w:rPr>
          <w:rFonts w:cs="Arial"/>
          <w:kern w:val="24"/>
        </w:rPr>
        <w:t>Kosinusfunktionen</w:t>
      </w:r>
      <w:proofErr w:type="spellEnd"/>
      <w:r w:rsidR="00B44BC0" w:rsidRPr="007062DE">
        <w:rPr>
          <w:rFonts w:cs="Arial"/>
          <w:kern w:val="24"/>
        </w:rPr>
        <w:t>,</w:t>
      </w:r>
    </w:p>
    <w:p w14:paraId="59CDAEEE" w14:textId="77777777" w:rsidR="007062DE" w:rsidRDefault="000F3EF0" w:rsidP="000F3EF0">
      <w:r w:rsidRPr="00680621">
        <w:t>GK</w:t>
      </w:r>
      <w:r w:rsidR="001D254D">
        <w:t>-S(1)</w:t>
      </w:r>
      <w:r w:rsidRPr="00680621">
        <w:t>/LK-S</w:t>
      </w:r>
      <w:r w:rsidR="00894062">
        <w:t>(</w:t>
      </w:r>
      <w:r w:rsidRPr="00680621">
        <w:t>1</w:t>
      </w:r>
      <w:r w:rsidR="00894062">
        <w:t>)</w:t>
      </w:r>
      <w:r w:rsidRPr="00680621">
        <w:t xml:space="preserve">: </w:t>
      </w:r>
    </w:p>
    <w:p w14:paraId="42BCCD42" w14:textId="77777777" w:rsidR="000F3EF0" w:rsidRPr="007062DE" w:rsidRDefault="000F3EF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planen und beurteilen statistische Erhebungen und nutzen dabei auch digitale Mathematikwerkzeuge,</w:t>
      </w:r>
    </w:p>
    <w:p w14:paraId="601B2CEC" w14:textId="77777777" w:rsidR="007062DE" w:rsidRDefault="00B44BC0" w:rsidP="000F3EF0">
      <w:r>
        <w:t xml:space="preserve">LK-S(16): </w:t>
      </w:r>
    </w:p>
    <w:p w14:paraId="0D9752AC" w14:textId="77777777" w:rsidR="00B44BC0" w:rsidRPr="007062DE" w:rsidRDefault="00B44BC0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ermitteln mithilfe der σ-Regeln Prognoseintervalle für die absoluten und relativen Häufigkeiten in einer Stichprobe und interpretieren diese im Sachkontext,</w:t>
      </w:r>
    </w:p>
    <w:p w14:paraId="014B4A68" w14:textId="77777777" w:rsidR="007062DE" w:rsidRDefault="00894062" w:rsidP="000F3EF0">
      <w:r>
        <w:t xml:space="preserve">LK-S(17): </w:t>
      </w:r>
    </w:p>
    <w:p w14:paraId="40723AEB" w14:textId="77777777" w:rsidR="00894062" w:rsidRPr="007062DE" w:rsidRDefault="00894062" w:rsidP="007062DE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7062DE">
        <w:rPr>
          <w:rFonts w:cs="Arial"/>
          <w:kern w:val="24"/>
        </w:rPr>
        <w:t>ermitteln auf Grundlage einer relativen Häufigkeit ein Konfidenzintervall für den Parameter p einer binomialverteilten Zufallsgröße und interpretieren das Ergebnis im Sachkontext (Schluss von der Stic</w:t>
      </w:r>
      <w:r w:rsidR="00B44BC0" w:rsidRPr="007062DE">
        <w:rPr>
          <w:rFonts w:cs="Arial"/>
          <w:kern w:val="24"/>
        </w:rPr>
        <w:t>hprobe auf die Grundgesamtheit).</w:t>
      </w:r>
    </w:p>
    <w:sectPr w:rsidR="00894062" w:rsidRPr="007062DE" w:rsidSect="008940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761F"/>
    <w:multiLevelType w:val="hybridMultilevel"/>
    <w:tmpl w:val="8914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3773f4d-63c6-45fd-b1fd-b932adedfb51}"/>
  </w:docVars>
  <w:rsids>
    <w:rsidRoot w:val="00621F93"/>
    <w:rsid w:val="0006221E"/>
    <w:rsid w:val="0009344B"/>
    <w:rsid w:val="000C5700"/>
    <w:rsid w:val="000F3EF0"/>
    <w:rsid w:val="00160C57"/>
    <w:rsid w:val="001D254D"/>
    <w:rsid w:val="0033294B"/>
    <w:rsid w:val="003854D1"/>
    <w:rsid w:val="00387BC0"/>
    <w:rsid w:val="003A5E2B"/>
    <w:rsid w:val="003B238A"/>
    <w:rsid w:val="00410EEB"/>
    <w:rsid w:val="00415B03"/>
    <w:rsid w:val="004A5122"/>
    <w:rsid w:val="00506A4A"/>
    <w:rsid w:val="00545499"/>
    <w:rsid w:val="005D4806"/>
    <w:rsid w:val="005F1BB1"/>
    <w:rsid w:val="005F34F5"/>
    <w:rsid w:val="00621F93"/>
    <w:rsid w:val="00680450"/>
    <w:rsid w:val="00680621"/>
    <w:rsid w:val="006B193E"/>
    <w:rsid w:val="007062DE"/>
    <w:rsid w:val="00750340"/>
    <w:rsid w:val="00854272"/>
    <w:rsid w:val="00880F17"/>
    <w:rsid w:val="00894062"/>
    <w:rsid w:val="00896F3C"/>
    <w:rsid w:val="009D3637"/>
    <w:rsid w:val="009F3360"/>
    <w:rsid w:val="00A55FC0"/>
    <w:rsid w:val="00AB5B85"/>
    <w:rsid w:val="00AF2384"/>
    <w:rsid w:val="00B01B52"/>
    <w:rsid w:val="00B44BC0"/>
    <w:rsid w:val="00BA5A22"/>
    <w:rsid w:val="00BD4446"/>
    <w:rsid w:val="00C24C99"/>
    <w:rsid w:val="00CD68CB"/>
    <w:rsid w:val="00CE5707"/>
    <w:rsid w:val="00DB12D6"/>
    <w:rsid w:val="00E122FE"/>
    <w:rsid w:val="00EA6801"/>
    <w:rsid w:val="00F902DF"/>
    <w:rsid w:val="00FE69BE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11C"/>
  <w15:chartTrackingRefBased/>
  <w15:docId w15:val="{6B987C8B-7036-4C8D-AAD3-2579ACC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D68CB"/>
    <w:rPr>
      <w:sz w:val="16"/>
      <w:szCs w:val="16"/>
    </w:rPr>
  </w:style>
  <w:style w:type="paragraph" w:styleId="Kommentartext">
    <w:name w:val="annotation text"/>
    <w:aliases w:val="Char2"/>
    <w:basedOn w:val="Standard"/>
    <w:link w:val="KommentartextZchn"/>
    <w:uiPriority w:val="99"/>
    <w:unhideWhenUsed/>
    <w:rsid w:val="00CD6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har2 Zchn"/>
    <w:basedOn w:val="Absatz-Standardschriftart"/>
    <w:link w:val="Kommentartext"/>
    <w:uiPriority w:val="99"/>
    <w:rsid w:val="00CD68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0DA6-185A-4D9F-B627-00ABC4A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2023-03-28T14:57:00Z</dcterms:created>
  <dcterms:modified xsi:type="dcterms:W3CDTF">2023-06-22T07:28:00Z</dcterms:modified>
</cp:coreProperties>
</file>