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B3" w:rsidRDefault="003613CC" w:rsidP="002F2D05">
      <w:pPr>
        <w:jc w:val="both"/>
        <w:rPr>
          <w:rFonts w:asciiTheme="minorHAnsi" w:hAnsiTheme="minorHAnsi" w:cstheme="minorHAnsi"/>
          <w:sz w:val="36"/>
          <w:szCs w:val="36"/>
        </w:rPr>
      </w:pPr>
      <w:r>
        <w:rPr>
          <w:rFonts w:asciiTheme="minorHAnsi" w:hAnsiTheme="minorHAnsi" w:cstheme="minorHAnsi"/>
          <w:sz w:val="36"/>
          <w:szCs w:val="36"/>
        </w:rPr>
        <w:t xml:space="preserve">Collage als Denk- </w:t>
      </w:r>
      <w:r w:rsidR="002E2DD8">
        <w:rPr>
          <w:rFonts w:asciiTheme="minorHAnsi" w:hAnsiTheme="minorHAnsi" w:cstheme="minorHAnsi"/>
          <w:sz w:val="36"/>
          <w:szCs w:val="36"/>
        </w:rPr>
        <w:t>und Handlungsprinzip</w:t>
      </w:r>
      <w:r w:rsidR="00952324">
        <w:rPr>
          <w:rFonts w:asciiTheme="minorHAnsi" w:hAnsiTheme="minorHAnsi" w:cstheme="minorHAnsi"/>
          <w:sz w:val="36"/>
          <w:szCs w:val="36"/>
        </w:rPr>
        <w:t xml:space="preserve"> im Kunstunterricht verortet</w:t>
      </w:r>
    </w:p>
    <w:p w:rsidR="001649B3" w:rsidRDefault="002E2DD8" w:rsidP="002F2D05">
      <w:pPr>
        <w:spacing w:after="360"/>
        <w:jc w:val="both"/>
        <w:rPr>
          <w:rFonts w:asciiTheme="minorHAnsi" w:hAnsiTheme="minorHAnsi" w:cstheme="minorHAnsi"/>
          <w:sz w:val="22"/>
        </w:rPr>
      </w:pPr>
      <w:r>
        <w:rPr>
          <w:rFonts w:asciiTheme="minorHAnsi" w:hAnsiTheme="minorHAnsi" w:cstheme="minorHAnsi"/>
          <w:sz w:val="22"/>
        </w:rPr>
        <w:t xml:space="preserve">Collage als Denk - und Handlungsprinzip kann als künstlerische Strategie verstanden werden, die mit einer Vielfalt an individuellen Potenzialen, Fähigkeiten und Vorgehensweisen in Zusammenhang steht. Sie lässt sich mit Blick auf die Schülerinnen und Schüler auch als eine grundlegende kunstfachliche Kompetenz verstehen und erreicht darüber hinaus eine deutlich fachübergreifende Dimension. </w:t>
      </w:r>
      <w:r>
        <w:rPr>
          <w:rFonts w:asciiTheme="minorHAnsi" w:hAnsiTheme="minorHAnsi" w:cstheme="minorHAnsi"/>
          <w:sz w:val="22"/>
        </w:rPr>
        <w:br/>
        <w:t xml:space="preserve">Mit diesem skizzierten Verständnis der Collage als Denk - und Handlungsprinzip muss der Begriff der Collage nicht nur als Papier </w:t>
      </w:r>
      <w:proofErr w:type="spellStart"/>
      <w:r>
        <w:rPr>
          <w:rFonts w:asciiTheme="minorHAnsi" w:hAnsiTheme="minorHAnsi" w:cstheme="minorHAnsi"/>
          <w:sz w:val="22"/>
        </w:rPr>
        <w:t>collé</w:t>
      </w:r>
      <w:proofErr w:type="spellEnd"/>
      <w:r>
        <w:rPr>
          <w:rFonts w:asciiTheme="minorHAnsi" w:hAnsiTheme="minorHAnsi" w:cstheme="minorHAnsi"/>
          <w:sz w:val="22"/>
        </w:rPr>
        <w:t>, sondern im erweiterten Sinne verwendet werden, also als Produkt, welches durch die Anwendung dieser Strategie entstanden ist.</w:t>
      </w:r>
    </w:p>
    <w:p w:rsidR="001649B3" w:rsidRDefault="002E2DD8" w:rsidP="002F2D05">
      <w:pPr>
        <w:jc w:val="both"/>
        <w:rPr>
          <w:rFonts w:asciiTheme="minorHAnsi" w:hAnsiTheme="minorHAnsi" w:cstheme="minorHAnsi"/>
          <w:sz w:val="28"/>
          <w:szCs w:val="28"/>
        </w:rPr>
      </w:pPr>
      <w:r>
        <w:rPr>
          <w:rFonts w:asciiTheme="minorHAnsi" w:hAnsiTheme="minorHAnsi" w:cstheme="minorHAnsi"/>
          <w:sz w:val="28"/>
          <w:szCs w:val="28"/>
        </w:rPr>
        <w:t xml:space="preserve">Kennzeichen </w:t>
      </w:r>
    </w:p>
    <w:p w:rsidR="001649B3" w:rsidRDefault="002E2DD8" w:rsidP="002F2D05">
      <w:pPr>
        <w:jc w:val="both"/>
        <w:rPr>
          <w:rFonts w:asciiTheme="minorHAnsi" w:hAnsiTheme="minorHAnsi" w:cstheme="minorHAnsi"/>
          <w:sz w:val="22"/>
        </w:rPr>
      </w:pPr>
      <w:r>
        <w:rPr>
          <w:rFonts w:asciiTheme="minorHAnsi" w:hAnsiTheme="minorHAnsi" w:cstheme="minorHAnsi"/>
          <w:sz w:val="22"/>
        </w:rPr>
        <w:t>Eine wichtige Vorgehensweise in diesem Denk- und Handlungsprinzip ist gekennz</w:t>
      </w:r>
      <w:bookmarkStart w:id="0" w:name="_GoBack"/>
      <w:bookmarkEnd w:id="0"/>
      <w:r>
        <w:rPr>
          <w:rFonts w:asciiTheme="minorHAnsi" w:hAnsiTheme="minorHAnsi" w:cstheme="minorHAnsi"/>
          <w:sz w:val="22"/>
        </w:rPr>
        <w:t>eichnet durch eine spielerische Vertauschung von Mittel und Zweck. D.h. die Mittel, Werkzeuge und Materialien werden nicht mit Blick auf das Ziel organisiert, sondern sie bestimmen selbst das Ziel wesentlich mit. Ständig entsteht auf diese Weise Bedeutung - auch da, wo zunächst keine vermutet wird. Der Zufall spielt uns auf diese Weise Bezüge zu und wir greifen nach den sich anbietenden Möglichkeiten. Auf diese Weise können neue und ungewöhnliche Verbindungen und Kombinationen, die für uns neuen Sinn ergeben, für die eigene praktische Arbeit fruchtbar gemacht werden.</w:t>
      </w:r>
    </w:p>
    <w:p w:rsidR="001649B3" w:rsidRPr="00903F81" w:rsidRDefault="002E2DD8" w:rsidP="002F2D05">
      <w:pPr>
        <w:spacing w:after="360"/>
        <w:jc w:val="both"/>
        <w:rPr>
          <w:rFonts w:asciiTheme="minorHAnsi" w:eastAsia="Times New Roman" w:hAnsiTheme="minorHAnsi" w:cs="Calibri"/>
          <w:sz w:val="22"/>
        </w:rPr>
      </w:pPr>
      <w:r>
        <w:rPr>
          <w:rFonts w:asciiTheme="minorHAnsi" w:eastAsia="Times New Roman" w:hAnsiTheme="minorHAnsi" w:cs="Calibri"/>
          <w:sz w:val="22"/>
        </w:rPr>
        <w:t>Der Prozess besteht jedoch nicht nur darin, lediglich den Zufall als Gestaltungsinstanz zu akzeptieren. Es findet bei diesem ein permanentes Wechselspiel zwischen der sinnlichen Wahrnehmung der Collageelemente und dem Entdecken von Bedeutungen statt. Dabei entstehen Vorstellungen, die eine Suche nach neuen Collageelementen provozieren.</w:t>
      </w:r>
    </w:p>
    <w:p w:rsidR="001649B3" w:rsidRDefault="002E2DD8" w:rsidP="002F2D05">
      <w:pPr>
        <w:jc w:val="both"/>
        <w:rPr>
          <w:rFonts w:asciiTheme="minorHAnsi" w:hAnsiTheme="minorHAnsi" w:cstheme="minorHAnsi"/>
          <w:sz w:val="28"/>
          <w:szCs w:val="28"/>
        </w:rPr>
      </w:pPr>
      <w:r>
        <w:rPr>
          <w:rFonts w:asciiTheme="minorHAnsi" w:hAnsiTheme="minorHAnsi" w:cstheme="minorHAnsi"/>
          <w:sz w:val="28"/>
          <w:szCs w:val="28"/>
        </w:rPr>
        <w:t>Grundhaltungen</w:t>
      </w:r>
    </w:p>
    <w:p w:rsidR="001649B3" w:rsidRDefault="002E2DD8" w:rsidP="002F2D05">
      <w:pPr>
        <w:spacing w:after="360"/>
        <w:jc w:val="both"/>
        <w:rPr>
          <w:rFonts w:asciiTheme="minorHAnsi" w:hAnsiTheme="minorHAnsi" w:cstheme="minorHAnsi"/>
          <w:sz w:val="22"/>
        </w:rPr>
      </w:pPr>
      <w:r>
        <w:rPr>
          <w:rFonts w:asciiTheme="minorHAnsi" w:hAnsiTheme="minorHAnsi" w:cstheme="minorHAnsi"/>
          <w:sz w:val="22"/>
        </w:rPr>
        <w:t>Entscheidend für das bezeichnete Denken ist, dass man neben dem Einfall und dem planvollen Vorgehen dem Zufall als weitere Gestaltungsinstanz Raum gibt. Dies impliziert die Offenheit für unterschiedliche Lösungswege, flexibles und flüssiges Denken, das sich nicht von Grenzen und gewohnten Regeln einengen lässt, sondern mutig aus der Sache, dem Material oder der Technik heraus Neues entwickelt. Dies kann weiterhin umschrieben werden mit Lust aufs Spiel, das Jonglieren unterschiedlicher Möglichkeiten im Kopf, das Ausprobieren, Verfestigen, Abwarten, Neu-Arrangieren, das Loslassen von Gewohntem, dem Mut, Ungewohntes auszuprobieren, diesem nachzuspüren und es auszuwerten.</w:t>
      </w:r>
    </w:p>
    <w:p w:rsidR="001649B3" w:rsidRDefault="002E2DD8" w:rsidP="002F2D05">
      <w:pPr>
        <w:jc w:val="both"/>
        <w:rPr>
          <w:rFonts w:asciiTheme="minorHAnsi" w:hAnsiTheme="minorHAnsi" w:cstheme="minorHAnsi"/>
          <w:sz w:val="28"/>
          <w:szCs w:val="28"/>
        </w:rPr>
      </w:pPr>
      <w:r>
        <w:rPr>
          <w:rFonts w:asciiTheme="minorHAnsi" w:hAnsiTheme="minorHAnsi" w:cstheme="minorHAnsi"/>
          <w:sz w:val="28"/>
          <w:szCs w:val="28"/>
        </w:rPr>
        <w:t xml:space="preserve">Konsequenzen </w:t>
      </w:r>
    </w:p>
    <w:p w:rsidR="002F2D05" w:rsidRDefault="002E2DD8" w:rsidP="002F2D05">
      <w:pPr>
        <w:spacing w:after="0"/>
        <w:jc w:val="both"/>
        <w:rPr>
          <w:rFonts w:asciiTheme="minorHAnsi" w:hAnsiTheme="minorHAnsi" w:cs="Calibri"/>
          <w:sz w:val="22"/>
        </w:rPr>
      </w:pPr>
      <w:r>
        <w:rPr>
          <w:rFonts w:asciiTheme="minorHAnsi" w:hAnsiTheme="minorHAnsi" w:cs="Calibri"/>
          <w:sz w:val="22"/>
        </w:rPr>
        <w:t>Die Realisierung von Collage als Denk- und Handlungsprinzip in Unterrichtssequenzen erfordert Aufgabenstellungen, die die beschriebene Offenheit bzgl. möglicher Assoziationen und unerwarteten Ergebnissen zulassen.</w:t>
      </w:r>
    </w:p>
    <w:p w:rsidR="001649B3" w:rsidRPr="002F2D05" w:rsidRDefault="002E2DD8" w:rsidP="002F2D05">
      <w:pPr>
        <w:jc w:val="both"/>
        <w:rPr>
          <w:rFonts w:asciiTheme="minorHAnsi" w:hAnsiTheme="minorHAnsi" w:cs="Calibri"/>
          <w:sz w:val="22"/>
        </w:rPr>
      </w:pPr>
      <w:r>
        <w:rPr>
          <w:rFonts w:asciiTheme="minorHAnsi" w:eastAsia="Times New Roman" w:hAnsiTheme="minorHAnsi" w:cs="Calibri"/>
          <w:sz w:val="22"/>
        </w:rPr>
        <w:t xml:space="preserve">Um solche Aufgaben zu bewältigen, müssen die Schülerinnen und Schüler früh lernen, sich spielerisch auf die Wahrnehmung von Zufall einzulassen. </w:t>
      </w:r>
      <w:r>
        <w:rPr>
          <w:rFonts w:asciiTheme="minorHAnsi" w:hAnsiTheme="minorHAnsi" w:cstheme="minorHAnsi"/>
          <w:sz w:val="22"/>
        </w:rPr>
        <w:t xml:space="preserve">Gerade das Spielerische und die Herausforderung, etwas zu erproben, was nur als vage Gestaltungsidee existiert, ist von Schülerinnen und Schülern aber nicht </w:t>
      </w:r>
      <w:r>
        <w:rPr>
          <w:rFonts w:asciiTheme="minorHAnsi" w:hAnsiTheme="minorHAnsi" w:cstheme="minorHAnsi"/>
          <w:sz w:val="22"/>
        </w:rPr>
        <w:lastRenderedPageBreak/>
        <w:t xml:space="preserve">per se zu leisten. Es bedarf einer Vorbereitung bzw. einer Heranführung. </w:t>
      </w:r>
      <w:r>
        <w:rPr>
          <w:rFonts w:asciiTheme="minorHAnsi" w:hAnsiTheme="minorHAnsi" w:cs="Calibri"/>
          <w:sz w:val="22"/>
        </w:rPr>
        <w:t>Die grundlegende Kompetenz der Col</w:t>
      </w:r>
      <w:r w:rsidR="00BD5422">
        <w:rPr>
          <w:rFonts w:asciiTheme="minorHAnsi" w:hAnsiTheme="minorHAnsi" w:cs="Calibri"/>
          <w:sz w:val="22"/>
        </w:rPr>
        <w:t>lage als Denk- und Handlungsprinzip</w:t>
      </w:r>
      <w:r>
        <w:rPr>
          <w:rFonts w:asciiTheme="minorHAnsi" w:hAnsiTheme="minorHAnsi" w:cs="Calibri"/>
          <w:sz w:val="22"/>
        </w:rPr>
        <w:t xml:space="preserve"> muss daher über alle Jahrgangsstufen hinweg, in verschiedenen Unterrichtsphasen und unterschiedlichen Zusammenhängen immer wieder angestoßen und trainiert werden. Dies kann in allen Unterrichtskontexten durch Übungen und Impulse angesteuert werden, z.B. als Unterrichtseinstieg, </w:t>
      </w:r>
      <w:proofErr w:type="spellStart"/>
      <w:r>
        <w:rPr>
          <w:rFonts w:asciiTheme="minorHAnsi" w:hAnsiTheme="minorHAnsi" w:cs="Calibri"/>
          <w:sz w:val="22"/>
        </w:rPr>
        <w:t>warm-up</w:t>
      </w:r>
      <w:proofErr w:type="spellEnd"/>
      <w:r>
        <w:rPr>
          <w:rFonts w:asciiTheme="minorHAnsi" w:hAnsiTheme="minorHAnsi" w:cs="Calibri"/>
          <w:sz w:val="22"/>
        </w:rPr>
        <w:t>, Perspektivwechsel oder bei der Ideenentwicklung.</w:t>
      </w:r>
    </w:p>
    <w:p w:rsidR="001649B3" w:rsidRDefault="002E2DD8" w:rsidP="002F2D05">
      <w:pPr>
        <w:jc w:val="both"/>
        <w:rPr>
          <w:rFonts w:asciiTheme="minorHAnsi" w:eastAsia="Times New Roman" w:hAnsiTheme="minorHAnsi" w:cs="Calibri"/>
          <w:sz w:val="22"/>
        </w:rPr>
      </w:pPr>
      <w:r>
        <w:rPr>
          <w:rFonts w:asciiTheme="minorHAnsi" w:eastAsia="Times New Roman" w:hAnsiTheme="minorHAnsi" w:cs="Calibri"/>
          <w:sz w:val="22"/>
        </w:rPr>
        <w:t>Hinsichtlich einer schwerpunktmäßigen Entwicklung dieser Kompetenz bei Schülerinnen und Schülern in einem Unterrichtsvorhaben in einer Jahrgangstufe kann folgende Struktur hilfreich sein:</w:t>
      </w:r>
    </w:p>
    <w:tbl>
      <w:tblPr>
        <w:tblStyle w:val="Tabellenraster"/>
        <w:tblW w:w="0" w:type="auto"/>
        <w:tblLook w:val="04A0" w:firstRow="1" w:lastRow="0" w:firstColumn="1" w:lastColumn="0" w:noHBand="0" w:noVBand="1"/>
      </w:tblPr>
      <w:tblGrid>
        <w:gridCol w:w="3020"/>
        <w:gridCol w:w="3021"/>
        <w:gridCol w:w="3021"/>
      </w:tblGrid>
      <w:tr w:rsidR="001649B3">
        <w:tc>
          <w:tcPr>
            <w:tcW w:w="3020" w:type="dxa"/>
          </w:tcPr>
          <w:p w:rsidR="002F2D05" w:rsidRDefault="002E2DD8" w:rsidP="002F2D05">
            <w:pPr>
              <w:spacing w:after="120"/>
              <w:jc w:val="both"/>
              <w:rPr>
                <w:rFonts w:asciiTheme="minorHAnsi" w:eastAsia="Times New Roman" w:hAnsiTheme="minorHAnsi" w:cs="Calibri"/>
                <w:i/>
                <w:sz w:val="22"/>
              </w:rPr>
            </w:pPr>
            <w:r>
              <w:rPr>
                <w:rFonts w:asciiTheme="minorHAnsi" w:eastAsia="Times New Roman" w:hAnsiTheme="minorHAnsi" w:cs="Calibri"/>
                <w:b/>
                <w:sz w:val="22"/>
              </w:rPr>
              <w:t xml:space="preserve">Vorbereitungsphase </w:t>
            </w:r>
            <w:r>
              <w:rPr>
                <w:rFonts w:asciiTheme="minorHAnsi" w:eastAsia="Times New Roman" w:hAnsiTheme="minorHAnsi" w:cs="Calibri"/>
                <w:b/>
                <w:sz w:val="22"/>
              </w:rPr>
              <w:br/>
            </w:r>
            <w:r>
              <w:rPr>
                <w:rFonts w:asciiTheme="minorHAnsi" w:eastAsia="Times New Roman" w:hAnsiTheme="minorHAnsi" w:cs="Calibri"/>
                <w:i/>
                <w:sz w:val="22"/>
              </w:rPr>
              <w:t>Voraussetzungen und Motivation schaffen</w:t>
            </w:r>
          </w:p>
          <w:p w:rsidR="001649B3" w:rsidRPr="0011347C" w:rsidRDefault="002E2DD8" w:rsidP="0011347C">
            <w:pPr>
              <w:spacing w:after="120"/>
              <w:jc w:val="both"/>
              <w:rPr>
                <w:rFonts w:asciiTheme="minorHAnsi" w:eastAsia="Times New Roman" w:hAnsiTheme="minorHAnsi" w:cs="Calibri"/>
                <w:i/>
                <w:sz w:val="22"/>
              </w:rPr>
            </w:pPr>
            <w:r>
              <w:rPr>
                <w:rFonts w:asciiTheme="minorHAnsi" w:eastAsia="Times New Roman" w:hAnsiTheme="minorHAnsi" w:cs="Calibri"/>
                <w:i/>
                <w:sz w:val="22"/>
              </w:rPr>
              <w:br/>
            </w:r>
            <w:r>
              <w:rPr>
                <w:rFonts w:asciiTheme="minorHAnsi" w:hAnsiTheme="minorHAnsi" w:cstheme="minorHAnsi"/>
                <w:sz w:val="22"/>
              </w:rPr>
              <w:t xml:space="preserve">Vorbereitende Übungen zur </w:t>
            </w:r>
            <w:r>
              <w:rPr>
                <w:rFonts w:asciiTheme="minorHAnsi" w:hAnsiTheme="minorHAnsi" w:cs="Calibri"/>
                <w:sz w:val="22"/>
              </w:rPr>
              <w:t xml:space="preserve">Offenlegung individueller Potenziale und Kompetenzen; </w:t>
            </w:r>
            <w:r>
              <w:rPr>
                <w:rFonts w:asciiTheme="minorHAnsi" w:hAnsiTheme="minorHAnsi" w:cstheme="minorHAnsi"/>
                <w:sz w:val="22"/>
              </w:rPr>
              <w:t>Förderung der Flexibilität im Denken und i</w:t>
            </w:r>
            <w:r w:rsidR="00577CAD">
              <w:rPr>
                <w:rFonts w:asciiTheme="minorHAnsi" w:hAnsiTheme="minorHAnsi" w:cstheme="minorHAnsi"/>
                <w:sz w:val="22"/>
              </w:rPr>
              <w:t xml:space="preserve">m gestalterischen Handeln (z.B. </w:t>
            </w:r>
            <w:r>
              <w:rPr>
                <w:rFonts w:asciiTheme="minorHAnsi" w:hAnsiTheme="minorHAnsi" w:cstheme="minorHAnsi"/>
                <w:sz w:val="22"/>
              </w:rPr>
              <w:t xml:space="preserve">Assoziationsübungen, Übung zur Schärfung der Wahrnehmung, Erproben von Kreativitätstechniken) </w:t>
            </w:r>
          </w:p>
        </w:tc>
        <w:tc>
          <w:tcPr>
            <w:tcW w:w="3021" w:type="dxa"/>
          </w:tcPr>
          <w:p w:rsidR="001649B3" w:rsidRDefault="002E2DD8" w:rsidP="002F2D05">
            <w:pPr>
              <w:jc w:val="both"/>
              <w:rPr>
                <w:rFonts w:asciiTheme="minorHAnsi" w:eastAsia="Times New Roman" w:hAnsiTheme="minorHAnsi" w:cs="Calibri"/>
                <w:b/>
                <w:sz w:val="22"/>
              </w:rPr>
            </w:pPr>
            <w:r>
              <w:rPr>
                <w:rFonts w:asciiTheme="minorHAnsi" w:eastAsia="Times New Roman" w:hAnsiTheme="minorHAnsi" w:cs="Calibri"/>
                <w:b/>
                <w:sz w:val="22"/>
              </w:rPr>
              <w:t xml:space="preserve">Zentrale Lernphase </w:t>
            </w:r>
          </w:p>
          <w:p w:rsidR="001649B3" w:rsidRDefault="002E2DD8" w:rsidP="002F2D05">
            <w:pPr>
              <w:spacing w:after="120"/>
              <w:jc w:val="both"/>
              <w:rPr>
                <w:rFonts w:asciiTheme="minorHAnsi" w:eastAsia="Times New Roman" w:hAnsiTheme="minorHAnsi" w:cs="Calibri"/>
                <w:i/>
                <w:sz w:val="22"/>
              </w:rPr>
            </w:pPr>
            <w:r>
              <w:rPr>
                <w:rFonts w:asciiTheme="minorHAnsi" w:eastAsia="Times New Roman" w:hAnsiTheme="minorHAnsi" w:cs="Calibri"/>
                <w:i/>
                <w:sz w:val="22"/>
              </w:rPr>
              <w:t>Festigungs- und Transfermöglichkeiten schaffen</w:t>
            </w:r>
          </w:p>
          <w:p w:rsidR="001649B3" w:rsidRPr="0011347C" w:rsidRDefault="002E2DD8" w:rsidP="002F2D05">
            <w:pPr>
              <w:jc w:val="both"/>
              <w:rPr>
                <w:rFonts w:asciiTheme="minorHAnsi" w:eastAsia="Times New Roman" w:hAnsiTheme="minorHAnsi" w:cs="Calibri"/>
                <w:sz w:val="22"/>
              </w:rPr>
            </w:pPr>
            <w:r>
              <w:rPr>
                <w:rFonts w:asciiTheme="minorHAnsi" w:eastAsia="Times New Roman" w:hAnsiTheme="minorHAnsi" w:cs="Calibri"/>
                <w:sz w:val="22"/>
              </w:rPr>
              <w:br/>
              <w:t xml:space="preserve">Übungen bzw. Lernaufgaben zur Anwendung, Vertiefung und Sicherung von individuellen Potenzialen und Kompetenzen in Teilbereichen (z.B. Sammeln und Ordnen von Bildern und Ideen, </w:t>
            </w:r>
            <w:proofErr w:type="spellStart"/>
            <w:r>
              <w:rPr>
                <w:rFonts w:asciiTheme="minorHAnsi" w:eastAsia="Times New Roman" w:hAnsiTheme="minorHAnsi" w:cs="Calibri"/>
                <w:sz w:val="22"/>
              </w:rPr>
              <w:t>aspektorientiertes</w:t>
            </w:r>
            <w:proofErr w:type="spellEnd"/>
            <w:r>
              <w:rPr>
                <w:rFonts w:asciiTheme="minorHAnsi" w:eastAsia="Times New Roman" w:hAnsiTheme="minorHAnsi" w:cs="Calibri"/>
                <w:sz w:val="22"/>
              </w:rPr>
              <w:t xml:space="preserve"> Gestalten und Untersuchen von Collagen) </w:t>
            </w:r>
          </w:p>
        </w:tc>
        <w:tc>
          <w:tcPr>
            <w:tcW w:w="3021" w:type="dxa"/>
          </w:tcPr>
          <w:p w:rsidR="001649B3" w:rsidRDefault="002E2DD8" w:rsidP="002F2D05">
            <w:pPr>
              <w:spacing w:after="120"/>
              <w:jc w:val="both"/>
              <w:rPr>
                <w:rFonts w:asciiTheme="minorHAnsi" w:eastAsia="Times New Roman" w:hAnsiTheme="minorHAnsi" w:cs="Calibri"/>
                <w:i/>
                <w:sz w:val="22"/>
              </w:rPr>
            </w:pPr>
            <w:r>
              <w:rPr>
                <w:rFonts w:asciiTheme="minorHAnsi" w:eastAsia="Times New Roman" w:hAnsiTheme="minorHAnsi" w:cs="Calibri"/>
                <w:b/>
                <w:sz w:val="22"/>
              </w:rPr>
              <w:t xml:space="preserve">Abschlussphase </w:t>
            </w:r>
            <w:r>
              <w:rPr>
                <w:rFonts w:asciiTheme="minorHAnsi" w:eastAsia="Times New Roman" w:hAnsiTheme="minorHAnsi" w:cs="Calibri"/>
                <w:b/>
                <w:sz w:val="22"/>
              </w:rPr>
              <w:br/>
            </w:r>
            <w:r>
              <w:rPr>
                <w:rFonts w:asciiTheme="minorHAnsi" w:eastAsia="Times New Roman" w:hAnsiTheme="minorHAnsi" w:cs="Calibri"/>
                <w:i/>
                <w:sz w:val="22"/>
              </w:rPr>
              <w:t>Möglichkeiten zur Problemlösung schaffen</w:t>
            </w:r>
          </w:p>
          <w:p w:rsidR="001649B3" w:rsidRDefault="001649B3" w:rsidP="002F2D05">
            <w:pPr>
              <w:jc w:val="both"/>
              <w:rPr>
                <w:rFonts w:asciiTheme="minorHAnsi" w:hAnsiTheme="minorHAnsi" w:cstheme="minorHAnsi"/>
                <w:sz w:val="22"/>
              </w:rPr>
            </w:pPr>
          </w:p>
          <w:p w:rsidR="001649B3" w:rsidRDefault="002E2DD8" w:rsidP="002F2D05">
            <w:pPr>
              <w:jc w:val="both"/>
              <w:rPr>
                <w:rFonts w:asciiTheme="minorHAnsi" w:hAnsiTheme="minorHAnsi" w:cstheme="minorHAnsi"/>
                <w:sz w:val="22"/>
              </w:rPr>
            </w:pPr>
            <w:r>
              <w:rPr>
                <w:rFonts w:asciiTheme="minorHAnsi" w:hAnsiTheme="minorHAnsi" w:cs="Calibri"/>
                <w:sz w:val="22"/>
              </w:rPr>
              <w:t>Komplexe und offene Leistungsaufgabe zur</w:t>
            </w:r>
            <w:r>
              <w:rPr>
                <w:rFonts w:asciiTheme="minorHAnsi" w:hAnsiTheme="minorHAnsi" w:cs="Calibri"/>
                <w:sz w:val="22"/>
                <w:shd w:val="clear" w:color="auto" w:fill="FFFFFF"/>
              </w:rPr>
              <w:t xml:space="preserve"> eigenständigen Lösung und Reflexion einer Problemstellung mittels angebahnter individueller Potenziale und Kompetenzen</w:t>
            </w:r>
          </w:p>
          <w:p w:rsidR="001649B3" w:rsidRDefault="001649B3" w:rsidP="002F2D05">
            <w:pPr>
              <w:jc w:val="both"/>
              <w:rPr>
                <w:rFonts w:asciiTheme="minorHAnsi" w:hAnsiTheme="minorHAnsi" w:cstheme="minorHAnsi"/>
                <w:sz w:val="22"/>
              </w:rPr>
            </w:pPr>
          </w:p>
        </w:tc>
      </w:tr>
    </w:tbl>
    <w:p w:rsidR="001649B3" w:rsidRDefault="001649B3">
      <w:pPr>
        <w:rPr>
          <w:rFonts w:asciiTheme="minorHAnsi" w:hAnsiTheme="minorHAnsi" w:cstheme="minorHAnsi"/>
          <w:sz w:val="22"/>
        </w:rPr>
      </w:pPr>
    </w:p>
    <w:sectPr w:rsidR="001649B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D" w:rsidRDefault="00BE4C5D" w:rsidP="003613CC">
      <w:pPr>
        <w:spacing w:after="0" w:line="240" w:lineRule="auto"/>
      </w:pPr>
      <w:r>
        <w:separator/>
      </w:r>
    </w:p>
  </w:endnote>
  <w:endnote w:type="continuationSeparator" w:id="0">
    <w:p w:rsidR="00BE4C5D" w:rsidRDefault="00BE4C5D" w:rsidP="0036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57332"/>
      <w:docPartObj>
        <w:docPartGallery w:val="Page Numbers (Bottom of Page)"/>
        <w:docPartUnique/>
      </w:docPartObj>
    </w:sdtPr>
    <w:sdtEndPr>
      <w:rPr>
        <w:rFonts w:asciiTheme="minorHAnsi" w:hAnsiTheme="minorHAnsi" w:cstheme="minorHAnsi"/>
        <w:sz w:val="20"/>
        <w:szCs w:val="20"/>
      </w:rPr>
    </w:sdtEndPr>
    <w:sdtContent>
      <w:p w:rsidR="003613CC" w:rsidRPr="003613CC" w:rsidRDefault="003613CC">
        <w:pPr>
          <w:pStyle w:val="Fuzeile"/>
          <w:jc w:val="center"/>
          <w:rPr>
            <w:rFonts w:asciiTheme="minorHAnsi" w:hAnsiTheme="minorHAnsi" w:cstheme="minorHAnsi"/>
            <w:sz w:val="20"/>
            <w:szCs w:val="20"/>
          </w:rPr>
        </w:pPr>
        <w:r w:rsidRPr="003613CC">
          <w:rPr>
            <w:rFonts w:asciiTheme="minorHAnsi" w:hAnsiTheme="minorHAnsi" w:cstheme="minorHAnsi"/>
            <w:sz w:val="20"/>
            <w:szCs w:val="20"/>
          </w:rPr>
          <w:fldChar w:fldCharType="begin"/>
        </w:r>
        <w:r w:rsidRPr="003613CC">
          <w:rPr>
            <w:rFonts w:asciiTheme="minorHAnsi" w:hAnsiTheme="minorHAnsi" w:cstheme="minorHAnsi"/>
            <w:sz w:val="20"/>
            <w:szCs w:val="20"/>
          </w:rPr>
          <w:instrText>PAGE   \* MERGEFORMAT</w:instrText>
        </w:r>
        <w:r w:rsidRPr="003613CC">
          <w:rPr>
            <w:rFonts w:asciiTheme="minorHAnsi" w:hAnsiTheme="minorHAnsi" w:cstheme="minorHAnsi"/>
            <w:sz w:val="20"/>
            <w:szCs w:val="20"/>
          </w:rPr>
          <w:fldChar w:fldCharType="separate"/>
        </w:r>
        <w:r w:rsidR="00901468">
          <w:rPr>
            <w:rFonts w:asciiTheme="minorHAnsi" w:hAnsiTheme="minorHAnsi" w:cstheme="minorHAnsi"/>
            <w:noProof/>
            <w:sz w:val="20"/>
            <w:szCs w:val="20"/>
          </w:rPr>
          <w:t>2</w:t>
        </w:r>
        <w:r w:rsidRPr="003613CC">
          <w:rPr>
            <w:rFonts w:asciiTheme="minorHAnsi" w:hAnsiTheme="minorHAnsi" w:cstheme="minorHAnsi"/>
            <w:sz w:val="20"/>
            <w:szCs w:val="20"/>
          </w:rPr>
          <w:fldChar w:fldCharType="end"/>
        </w:r>
      </w:p>
    </w:sdtContent>
  </w:sdt>
  <w:p w:rsidR="003613CC" w:rsidRDefault="003613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D" w:rsidRDefault="00BE4C5D" w:rsidP="003613CC">
      <w:pPr>
        <w:spacing w:after="0" w:line="240" w:lineRule="auto"/>
      </w:pPr>
      <w:r>
        <w:separator/>
      </w:r>
    </w:p>
  </w:footnote>
  <w:footnote w:type="continuationSeparator" w:id="0">
    <w:p w:rsidR="00BE4C5D" w:rsidRDefault="00BE4C5D" w:rsidP="0036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68" w:rsidRDefault="00901468" w:rsidP="00901468">
    <w:pPr>
      <w:pStyle w:val="berschrift2"/>
      <w:spacing w:before="0" w:after="0" w:line="270" w:lineRule="atLeast"/>
      <w:ind w:left="-142"/>
      <w:textAlignment w:val="baseline"/>
      <w:rPr>
        <w:rFonts w:asciiTheme="minorHAnsi" w:hAnsiTheme="minorHAnsi" w:cstheme="minorHAnsi"/>
        <w:bCs w:val="0"/>
        <w:i w:val="0"/>
        <w:iCs w:val="0"/>
        <w:noProof/>
        <w:color w:val="002060"/>
        <w:sz w:val="22"/>
        <w:szCs w:val="22"/>
      </w:rPr>
    </w:pPr>
    <w:r>
      <w:rPr>
        <w:noProof/>
      </w:rPr>
      <w:drawing>
        <wp:anchor distT="0" distB="0" distL="114300" distR="114300" simplePos="0" relativeHeight="251660288" behindDoc="0" locked="0" layoutInCell="1" allowOverlap="1" wp14:anchorId="0A952CCB" wp14:editId="17E41694">
          <wp:simplePos x="0" y="0"/>
          <wp:positionH relativeFrom="page">
            <wp:posOffset>6605905</wp:posOffset>
          </wp:positionH>
          <wp:positionV relativeFrom="paragraph">
            <wp:posOffset>-276860</wp:posOffset>
          </wp:positionV>
          <wp:extent cx="895350" cy="440055"/>
          <wp:effectExtent l="0" t="0" r="0" b="0"/>
          <wp:wrapNone/>
          <wp:docPr id="4" name="Grafik 4"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442F366" wp14:editId="37805C68">
          <wp:simplePos x="0" y="0"/>
          <wp:positionH relativeFrom="page">
            <wp:posOffset>9581515</wp:posOffset>
          </wp:positionH>
          <wp:positionV relativeFrom="paragraph">
            <wp:posOffset>-410210</wp:posOffset>
          </wp:positionV>
          <wp:extent cx="895350" cy="440055"/>
          <wp:effectExtent l="0" t="0" r="0" b="0"/>
          <wp:wrapNone/>
          <wp:docPr id="5" name="Grafik 5"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val="0"/>
        <w:i w:val="0"/>
        <w:iCs w:val="0"/>
        <w:noProof/>
        <w:color w:val="002060"/>
        <w:sz w:val="22"/>
        <w:szCs w:val="22"/>
      </w:rPr>
      <w:t>Mit dem Zufall spielen und mit dem Unerwarteten planen – Collage als Denk- und Handlungsprinzip</w:t>
    </w:r>
  </w:p>
  <w:p w:rsidR="00E51CDD" w:rsidRPr="00901468" w:rsidRDefault="00952324" w:rsidP="00901468">
    <w:pPr>
      <w:pStyle w:val="Kopfzeile"/>
      <w:ind w:left="-142"/>
      <w:rPr>
        <w:rFonts w:asciiTheme="minorHAnsi" w:hAnsiTheme="minorHAnsi" w:cstheme="minorHAnsi"/>
        <w:color w:val="002060"/>
        <w:sz w:val="22"/>
      </w:rPr>
    </w:pPr>
    <w:r w:rsidRPr="00901468">
      <w:rPr>
        <w:rFonts w:asciiTheme="minorHAnsi" w:hAnsiTheme="minorHAnsi" w:cstheme="minorHAnsi"/>
        <w:noProof/>
        <w:color w:val="002060"/>
        <w:sz w:val="22"/>
      </w:rPr>
      <w:t>Collage als Denk- und Handlungsprinzip im Kunstunterricht verortet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55B6"/>
    <w:multiLevelType w:val="hybridMultilevel"/>
    <w:tmpl w:val="15C0C220"/>
    <w:lvl w:ilvl="0" w:tplc="0D5AA8C4">
      <w:start w:val="1"/>
      <w:numFmt w:val="bullet"/>
      <w:lvlText w:val="-"/>
      <w:lvlJc w:val="left"/>
      <w:pPr>
        <w:ind w:left="720" w:hanging="360"/>
      </w:pPr>
      <w:rPr>
        <w:rFonts w:ascii="Arial" w:eastAsiaTheme="minorHAnsi"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525823"/>
    <w:multiLevelType w:val="hybridMultilevel"/>
    <w:tmpl w:val="C8ACFFB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1E04E53E">
      <w:start w:val="1"/>
      <w:numFmt w:val="bullet"/>
      <w:lvlText w:val="-"/>
      <w:lvlJc w:val="left"/>
      <w:pPr>
        <w:ind w:left="2880" w:hanging="360"/>
      </w:pPr>
      <w:rPr>
        <w:rFonts w:ascii="Arial" w:eastAsiaTheme="minorHAnsi"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B3"/>
    <w:rsid w:val="0011347C"/>
    <w:rsid w:val="001649B3"/>
    <w:rsid w:val="002E2DD8"/>
    <w:rsid w:val="002F2D05"/>
    <w:rsid w:val="003613CC"/>
    <w:rsid w:val="00423C0D"/>
    <w:rsid w:val="00577CAD"/>
    <w:rsid w:val="007309ED"/>
    <w:rsid w:val="00901468"/>
    <w:rsid w:val="00903F81"/>
    <w:rsid w:val="00952324"/>
    <w:rsid w:val="00BD5422"/>
    <w:rsid w:val="00BE4C5D"/>
    <w:rsid w:val="00D36D1D"/>
    <w:rsid w:val="00E51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D092"/>
  <w15:chartTrackingRefBased/>
  <w15:docId w15:val="{8F600268-E510-4747-925B-1593E1D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952324"/>
    <w:pPr>
      <w:keepNext/>
      <w:spacing w:before="240" w:after="60" w:line="240" w:lineRule="auto"/>
      <w:outlineLvl w:val="1"/>
    </w:pPr>
    <w:rPr>
      <w:rFonts w:eastAsia="Times New Roman"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Cs w:val="24"/>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rFonts w:cs="Times New Roman"/>
      <w:sz w:val="16"/>
      <w:szCs w:val="16"/>
    </w:rPr>
  </w:style>
  <w:style w:type="paragraph" w:styleId="Kommentartext">
    <w:name w:val="annotation text"/>
    <w:basedOn w:val="Standard"/>
    <w:link w:val="KommentartextZchn"/>
    <w:uiPriority w:val="99"/>
    <w:semiHidden/>
    <w:unhideWhenUsed/>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semiHidden/>
    <w:rPr>
      <w:rFonts w:eastAsia="Times New Roman" w:cs="Times New Roman"/>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rsid w:val="00361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13CC"/>
  </w:style>
  <w:style w:type="paragraph" w:styleId="Fuzeile">
    <w:name w:val="footer"/>
    <w:basedOn w:val="Standard"/>
    <w:link w:val="FuzeileZchn"/>
    <w:uiPriority w:val="99"/>
    <w:unhideWhenUsed/>
    <w:rsid w:val="00361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13CC"/>
  </w:style>
  <w:style w:type="character" w:customStyle="1" w:styleId="berschrift2Zchn">
    <w:name w:val="Überschrift 2 Zchn"/>
    <w:basedOn w:val="Absatz-Standardschriftart"/>
    <w:link w:val="berschrift2"/>
    <w:rsid w:val="00952324"/>
    <w:rPr>
      <w:rFonts w:eastAsia="Times New Roman" w:cs="Arial"/>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3839</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2023-06-22T09:45:00Z</dcterms:created>
  <dcterms:modified xsi:type="dcterms:W3CDTF">2023-07-06T16:47:00Z</dcterms:modified>
</cp:coreProperties>
</file>