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8A" w:rsidRDefault="00B7338F">
      <w:pPr>
        <w:pStyle w:val="1"/>
        <w:rPr>
          <w:sz w:val="32"/>
        </w:rPr>
      </w:pPr>
      <w:bookmarkStart w:id="0" w:name="_Toc158171628"/>
      <w:r>
        <w:rPr>
          <w:sz w:val="32"/>
        </w:rPr>
        <w:t>Vom Text zum Baum in Anwendungsaufgaben</w:t>
      </w:r>
    </w:p>
    <w:p w:rsidR="0093188A" w:rsidRDefault="0093188A">
      <w:pPr>
        <w:pStyle w:val="1"/>
        <w:jc w:val="left"/>
        <w:rPr>
          <w:b w:val="0"/>
          <w:sz w:val="32"/>
        </w:rPr>
      </w:pPr>
    </w:p>
    <w:p w:rsidR="0093188A" w:rsidRDefault="00D95C76" w:rsidP="00D95C76">
      <w:pPr>
        <w:pStyle w:val="1"/>
        <w:jc w:val="left"/>
        <w:rPr>
          <w:b w:val="0"/>
          <w:sz w:val="24"/>
        </w:rPr>
      </w:pPr>
      <w:r w:rsidRPr="00D95C76">
        <w:rPr>
          <w:sz w:val="28"/>
        </w:rPr>
        <w:t>Aufgabe:</w:t>
      </w:r>
      <w:r w:rsidRPr="00D95C76">
        <w:rPr>
          <w:b w:val="0"/>
          <w:sz w:val="28"/>
        </w:rPr>
        <w:t xml:space="preserve"> </w:t>
      </w:r>
      <w:r>
        <w:rPr>
          <w:b w:val="0"/>
          <w:sz w:val="24"/>
        </w:rPr>
        <w:tab/>
      </w:r>
      <w:r w:rsidR="0093188A">
        <w:rPr>
          <w:b w:val="0"/>
          <w:sz w:val="24"/>
        </w:rPr>
        <w:t>Lege für jedes Beispiel ein vollständiges Baumdi</w:t>
      </w:r>
      <w:r w:rsidR="0093188A">
        <w:rPr>
          <w:b w:val="0"/>
          <w:sz w:val="24"/>
        </w:rPr>
        <w:t>a</w:t>
      </w:r>
      <w:r w:rsidR="0093188A">
        <w:rPr>
          <w:b w:val="0"/>
          <w:sz w:val="24"/>
        </w:rPr>
        <w:t>gramm an.</w:t>
      </w:r>
    </w:p>
    <w:p w:rsidR="0093188A" w:rsidRDefault="00D95C76" w:rsidP="00D95C76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93188A">
        <w:rPr>
          <w:b w:val="0"/>
          <w:sz w:val="24"/>
        </w:rPr>
        <w:t>Berechne, falls nötig, unbekannte Astwahrscheinlic</w:t>
      </w:r>
      <w:r w:rsidR="0093188A">
        <w:rPr>
          <w:b w:val="0"/>
          <w:sz w:val="24"/>
        </w:rPr>
        <w:t>h</w:t>
      </w:r>
      <w:r w:rsidR="0093188A">
        <w:rPr>
          <w:b w:val="0"/>
          <w:sz w:val="24"/>
        </w:rPr>
        <w:t>keiten.</w:t>
      </w:r>
    </w:p>
    <w:p w:rsidR="0093188A" w:rsidRPr="00EB4808" w:rsidRDefault="0093188A">
      <w:pPr>
        <w:pStyle w:val="1"/>
        <w:rPr>
          <w:sz w:val="16"/>
        </w:rPr>
      </w:pPr>
    </w:p>
    <w:p w:rsidR="0093188A" w:rsidRPr="00EB4808" w:rsidRDefault="00D95C76" w:rsidP="00D95C76">
      <w:pPr>
        <w:pStyle w:val="1"/>
        <w:jc w:val="left"/>
        <w:rPr>
          <w:sz w:val="24"/>
        </w:rPr>
      </w:pPr>
      <w:r w:rsidRPr="00EB4808">
        <w:rPr>
          <w:sz w:val="24"/>
        </w:rPr>
        <w:t xml:space="preserve">1. </w:t>
      </w:r>
      <w:r w:rsidR="0093188A" w:rsidRPr="00EB4808">
        <w:rPr>
          <w:sz w:val="24"/>
        </w:rPr>
        <w:t xml:space="preserve"> Schulabschlüsse</w:t>
      </w:r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93188A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93188A" w:rsidRDefault="0093188A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Viele Jugendliche ohne Hauptschulabschluss</w:t>
            </w:r>
          </w:p>
          <w:p w:rsidR="0093188A" w:rsidRDefault="0093188A">
            <w:pPr>
              <w:pStyle w:val="Literatur"/>
              <w:tabs>
                <w:tab w:val="clear" w:pos="851"/>
                <w:tab w:val="left" w:pos="567"/>
              </w:tabs>
              <w:jc w:val="left"/>
              <w:rPr>
                <w:rFonts w:ascii="Arial" w:hAnsi="Arial"/>
                <w:i w:val="0"/>
                <w:snapToGrid w:val="0"/>
                <w:sz w:val="24"/>
              </w:rPr>
            </w:pPr>
            <w:r>
              <w:rPr>
                <w:rFonts w:ascii="Arial" w:hAnsi="Arial"/>
                <w:i w:val="0"/>
                <w:snapToGrid w:val="0"/>
                <w:sz w:val="24"/>
              </w:rPr>
              <w:t>Am Ende des Schuljahres 2002/2003 verließen 330 Tausend Jugendliche die Sch</w:t>
            </w:r>
            <w:r>
              <w:rPr>
                <w:rFonts w:ascii="Arial" w:hAnsi="Arial"/>
                <w:i w:val="0"/>
                <w:snapToGrid w:val="0"/>
                <w:sz w:val="24"/>
              </w:rPr>
              <w:t>u</w:t>
            </w:r>
            <w:r>
              <w:rPr>
                <w:rFonts w:ascii="Arial" w:hAnsi="Arial"/>
                <w:i w:val="0"/>
                <w:snapToGrid w:val="0"/>
                <w:sz w:val="24"/>
              </w:rPr>
              <w:t>len nach der 9. bzw. nach der 10. Klasse mit einem Hauptschulabschluss bzw. ganz ohne Abschluss. Darunter waren 135,5 Tausend Mädchen. 84,1 Tausend dieser J</w:t>
            </w:r>
            <w:r>
              <w:rPr>
                <w:rFonts w:ascii="Arial" w:hAnsi="Arial"/>
                <w:i w:val="0"/>
                <w:snapToGrid w:val="0"/>
                <w:sz w:val="24"/>
              </w:rPr>
              <w:t>u</w:t>
            </w:r>
            <w:r>
              <w:rPr>
                <w:rFonts w:ascii="Arial" w:hAnsi="Arial"/>
                <w:i w:val="0"/>
                <w:snapToGrid w:val="0"/>
                <w:sz w:val="24"/>
              </w:rPr>
              <w:t>gendlichen hatten keinen schulischen Abschluss erreicht, davon 30,6 Tausend Mä</w:t>
            </w:r>
            <w:r>
              <w:rPr>
                <w:rFonts w:ascii="Arial" w:hAnsi="Arial"/>
                <w:i w:val="0"/>
                <w:snapToGrid w:val="0"/>
                <w:sz w:val="24"/>
              </w:rPr>
              <w:t>d</w:t>
            </w:r>
            <w:r>
              <w:rPr>
                <w:rFonts w:ascii="Arial" w:hAnsi="Arial"/>
                <w:i w:val="0"/>
                <w:snapToGrid w:val="0"/>
                <w:sz w:val="24"/>
              </w:rPr>
              <w:t>chen.</w:t>
            </w:r>
          </w:p>
        </w:tc>
      </w:tr>
    </w:tbl>
    <w:p w:rsidR="0093188A" w:rsidRDefault="0093188A">
      <w:pPr>
        <w:pStyle w:val="Literatur"/>
        <w:tabs>
          <w:tab w:val="clear" w:pos="851"/>
          <w:tab w:val="left" w:pos="567"/>
        </w:tabs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Quelle: Statistisches Bundesamt Stand 15.11.2004 – </w:t>
      </w:r>
      <w:hyperlink r:id="rId5" w:history="1">
        <w:r>
          <w:rPr>
            <w:rStyle w:val="Hyperlink"/>
            <w:rFonts w:ascii="Arial" w:hAnsi="Arial"/>
            <w:sz w:val="24"/>
          </w:rPr>
          <w:t>www.destatis.de</w:t>
        </w:r>
      </w:hyperlink>
    </w:p>
    <w:p w:rsidR="0093188A" w:rsidRPr="00EB4808" w:rsidRDefault="0093188A">
      <w:pPr>
        <w:rPr>
          <w:rFonts w:ascii="Arial" w:hAnsi="Arial"/>
          <w:snapToGrid w:val="0"/>
          <w:sz w:val="16"/>
        </w:rPr>
      </w:pPr>
    </w:p>
    <w:p w:rsidR="0093188A" w:rsidRPr="00EB4808" w:rsidRDefault="00D95C76" w:rsidP="00D95C76">
      <w:pPr>
        <w:pStyle w:val="1"/>
        <w:jc w:val="left"/>
        <w:rPr>
          <w:sz w:val="32"/>
        </w:rPr>
      </w:pPr>
      <w:bookmarkStart w:id="1" w:name="_Toc158171630"/>
      <w:r w:rsidRPr="00EB4808">
        <w:rPr>
          <w:sz w:val="24"/>
        </w:rPr>
        <w:t xml:space="preserve">2. </w:t>
      </w:r>
      <w:r w:rsidR="0093188A" w:rsidRPr="00EB4808">
        <w:rPr>
          <w:sz w:val="24"/>
        </w:rPr>
        <w:t xml:space="preserve"> Vergehen im Straßenverkehr</w:t>
      </w:r>
      <w:bookmarkEnd w:id="1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93188A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93188A" w:rsidRDefault="0093188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Mehr Erwachsene als betrunkene Fahrer</w:t>
            </w:r>
          </w:p>
          <w:p w:rsidR="0093188A" w:rsidRDefault="0093188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Im letzten Jahr gab es 101 565 Verurteilte wegen eines Vergehen im Straßenve</w:t>
            </w:r>
            <w:r>
              <w:rPr>
                <w:rFonts w:ascii="Arial" w:hAnsi="Arial"/>
                <w:sz w:val="24"/>
              </w:rPr>
              <w:t>r</w:t>
            </w:r>
            <w:r>
              <w:rPr>
                <w:rFonts w:ascii="Arial" w:hAnsi="Arial"/>
                <w:sz w:val="24"/>
              </w:rPr>
              <w:t>kehr ohne Einfluss von Trunkenheit, davon 15 277 Heranwachsende (bis 21 Jahre). Vergehen mit Trunkenheit gab es 160 800. Insgesamt wurden 234 842 Erwachsene (ab 21 Jahre) verurteilt.</w:t>
            </w:r>
          </w:p>
        </w:tc>
      </w:tr>
    </w:tbl>
    <w:p w:rsidR="0093188A" w:rsidRPr="00EB4808" w:rsidRDefault="0093188A" w:rsidP="00EB4808">
      <w:pPr>
        <w:pStyle w:val="Beschriftung"/>
        <w:rPr>
          <w:i/>
        </w:rPr>
      </w:pPr>
      <w:r>
        <w:rPr>
          <w:i/>
        </w:rPr>
        <w:t>Daten des Verkehrsministeriums</w:t>
      </w:r>
    </w:p>
    <w:p w:rsidR="0093188A" w:rsidRPr="00EB4808" w:rsidRDefault="0093188A">
      <w:pPr>
        <w:rPr>
          <w:rFonts w:ascii="Arial" w:hAnsi="Arial"/>
          <w:sz w:val="16"/>
        </w:rPr>
      </w:pPr>
    </w:p>
    <w:p w:rsidR="0093188A" w:rsidRPr="00EB4808" w:rsidRDefault="00D95C76" w:rsidP="00D95C76">
      <w:pPr>
        <w:pStyle w:val="1"/>
        <w:jc w:val="left"/>
        <w:rPr>
          <w:snapToGrid w:val="0"/>
          <w:sz w:val="32"/>
        </w:rPr>
      </w:pPr>
      <w:bookmarkStart w:id="2" w:name="_Toc158171631"/>
      <w:r w:rsidRPr="00EB4808">
        <w:rPr>
          <w:sz w:val="24"/>
        </w:rPr>
        <w:t xml:space="preserve">3.  </w:t>
      </w:r>
      <w:r w:rsidR="0093188A" w:rsidRPr="00EB4808">
        <w:rPr>
          <w:sz w:val="24"/>
        </w:rPr>
        <w:t>Ausländer in Deutschland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3188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3188A" w:rsidRDefault="0093188A">
            <w:pPr>
              <w:pStyle w:val="berschrift2"/>
            </w:pPr>
            <w:r>
              <w:t>Kaum Ausländer in Ostdeutschland</w:t>
            </w:r>
          </w:p>
          <w:p w:rsidR="0093188A" w:rsidRDefault="0093188A">
            <w:pPr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80,9 % der Gesamtbevölkerung Deutschlands lebt in den alten Bundesländern.</w:t>
            </w:r>
          </w:p>
          <w:p w:rsidR="0093188A" w:rsidRDefault="0093188A">
            <w:pPr>
              <w:pStyle w:val="berschrift1"/>
              <w:jc w:val="left"/>
            </w:pPr>
            <w:r>
              <w:t>Wä</w:t>
            </w:r>
            <w:r>
              <w:t>h</w:t>
            </w:r>
            <w:r>
              <w:t>rend im Westen der Anteil 10,3 % beträgt, liegt er ganz Deutschland bei 8,8%.</w:t>
            </w:r>
          </w:p>
        </w:tc>
      </w:tr>
    </w:tbl>
    <w:p w:rsidR="0093188A" w:rsidRPr="00EB4808" w:rsidRDefault="0093188A" w:rsidP="00EB4808">
      <w:pPr>
        <w:pStyle w:val="berschrift1"/>
        <w:rPr>
          <w:i/>
        </w:rPr>
      </w:pPr>
      <w:r>
        <w:rPr>
          <w:i/>
        </w:rPr>
        <w:t>Daten des Statistischen Bundesamtes</w:t>
      </w:r>
    </w:p>
    <w:p w:rsidR="0093188A" w:rsidRPr="00EB4808" w:rsidRDefault="0093188A">
      <w:pPr>
        <w:rPr>
          <w:rFonts w:ascii="Arial" w:hAnsi="Arial"/>
          <w:sz w:val="16"/>
        </w:rPr>
      </w:pPr>
    </w:p>
    <w:p w:rsidR="0093188A" w:rsidRPr="00EB4808" w:rsidRDefault="00D95C76" w:rsidP="00D95C76">
      <w:pPr>
        <w:pStyle w:val="1"/>
        <w:jc w:val="left"/>
        <w:rPr>
          <w:sz w:val="24"/>
        </w:rPr>
      </w:pPr>
      <w:bookmarkStart w:id="3" w:name="_Toc158171633"/>
      <w:r w:rsidRPr="00EB4808">
        <w:rPr>
          <w:sz w:val="24"/>
        </w:rPr>
        <w:t xml:space="preserve">4.  </w:t>
      </w:r>
      <w:r w:rsidR="0093188A" w:rsidRPr="00EB4808">
        <w:rPr>
          <w:sz w:val="24"/>
        </w:rPr>
        <w:t>Geldanlage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3188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3188A" w:rsidRDefault="0093188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Ältere sparen mehr</w:t>
            </w:r>
          </w:p>
          <w:p w:rsidR="0093188A" w:rsidRDefault="0093188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30 % der Sparkunden sind jünger als 35 Jahre. Die Hälfte aller Sparkunden legt w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niger als 10 000 € an. Von den unter 35-jährigen Sparkunden legen 80 % weniger als 10 000 € an.</w:t>
            </w:r>
          </w:p>
        </w:tc>
      </w:tr>
    </w:tbl>
    <w:p w:rsidR="0093188A" w:rsidRDefault="0093188A">
      <w:pPr>
        <w:pStyle w:val="Literatur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aus: Beispielaufgabe 4e von 2006 für den Zentrala</w:t>
      </w:r>
      <w:r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>schluss 10 Mathematik in NRW,</w:t>
      </w:r>
    </w:p>
    <w:p w:rsidR="0093188A" w:rsidRDefault="0093188A" w:rsidP="00EB4808">
      <w:pPr>
        <w:pStyle w:val="Literatur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röffentlicht unter </w:t>
      </w:r>
      <w:hyperlink r:id="rId6" w:history="1">
        <w:r>
          <w:rPr>
            <w:rStyle w:val="Hyperlink"/>
            <w:rFonts w:ascii="Arial" w:hAnsi="Arial"/>
            <w:sz w:val="24"/>
          </w:rPr>
          <w:t>www.learn-line.nrw.de</w:t>
        </w:r>
      </w:hyperlink>
    </w:p>
    <w:p w:rsidR="00EB4808" w:rsidRPr="00EB4808" w:rsidRDefault="00EB4808">
      <w:pPr>
        <w:rPr>
          <w:rFonts w:ascii="Arial" w:hAnsi="Arial"/>
          <w:sz w:val="16"/>
        </w:rPr>
      </w:pPr>
    </w:p>
    <w:p w:rsidR="00EB4808" w:rsidRPr="00EB4808" w:rsidRDefault="00EB4808">
      <w:pPr>
        <w:rPr>
          <w:rFonts w:ascii="Arial" w:hAnsi="Arial"/>
          <w:b/>
          <w:sz w:val="24"/>
        </w:rPr>
      </w:pPr>
      <w:r w:rsidRPr="00EB4808">
        <w:rPr>
          <w:rFonts w:ascii="Arial" w:hAnsi="Arial"/>
          <w:b/>
          <w:sz w:val="24"/>
        </w:rPr>
        <w:t>5. Kinderglück</w:t>
      </w:r>
    </w:p>
    <w:p w:rsidR="00EB4808" w:rsidRDefault="00EB4808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4808" w:rsidRPr="0032634B" w:rsidTr="0032634B">
        <w:tc>
          <w:tcPr>
            <w:tcW w:w="9212" w:type="dxa"/>
          </w:tcPr>
          <w:p w:rsidR="00EB4808" w:rsidRPr="0032634B" w:rsidRDefault="00EB4808" w:rsidP="0032634B">
            <w:pPr>
              <w:jc w:val="center"/>
              <w:rPr>
                <w:rFonts w:ascii="Arial" w:hAnsi="Arial"/>
                <w:b/>
                <w:sz w:val="24"/>
              </w:rPr>
            </w:pPr>
            <w:r w:rsidRPr="0032634B">
              <w:rPr>
                <w:rFonts w:ascii="Arial" w:hAnsi="Arial"/>
                <w:b/>
                <w:sz w:val="24"/>
              </w:rPr>
              <w:t>Frauen betrachten Kinder als Glück</w:t>
            </w:r>
          </w:p>
          <w:p w:rsidR="00EB4808" w:rsidRPr="0032634B" w:rsidRDefault="00EB4808" w:rsidP="00EB4808">
            <w:pPr>
              <w:rPr>
                <w:rFonts w:ascii="Arial" w:hAnsi="Arial"/>
                <w:sz w:val="24"/>
              </w:rPr>
            </w:pPr>
            <w:r w:rsidRPr="0032634B">
              <w:rPr>
                <w:rFonts w:ascii="Arial" w:hAnsi="Arial"/>
                <w:sz w:val="24"/>
              </w:rPr>
              <w:t>Die meisten deutschen Frauen betrachten (…)  Kinder als Glück: Für 69 % der Frauen sind sie „sehr wichtig“ für die Erfüllung des eigenen Lebens. (…) zwischen West und Ost gibt es Unterschiede: In Westdeutschland sagen 66 % aller Frauen (…), dass eigene Kinder sehr wichtig für das persönliche Glück sind, in Ostdeutsc</w:t>
            </w:r>
            <w:r w:rsidRPr="0032634B">
              <w:rPr>
                <w:rFonts w:ascii="Arial" w:hAnsi="Arial"/>
                <w:sz w:val="24"/>
              </w:rPr>
              <w:t>h</w:t>
            </w:r>
            <w:r w:rsidRPr="0032634B">
              <w:rPr>
                <w:rFonts w:ascii="Arial" w:hAnsi="Arial"/>
                <w:sz w:val="24"/>
              </w:rPr>
              <w:t xml:space="preserve">land sind dies mit 85 % deutlich mehr. </w:t>
            </w:r>
          </w:p>
        </w:tc>
      </w:tr>
    </w:tbl>
    <w:p w:rsidR="00EB4808" w:rsidRDefault="00EB4808" w:rsidP="00EB4808">
      <w:pPr>
        <w:rPr>
          <w:rFonts w:ascii="Arial" w:hAnsi="Arial" w:cs="Arial"/>
          <w:i/>
          <w:sz w:val="24"/>
        </w:rPr>
      </w:pPr>
      <w:r w:rsidRPr="0032634B">
        <w:rPr>
          <w:rFonts w:ascii="Arial" w:hAnsi="Arial"/>
          <w:i/>
          <w:sz w:val="24"/>
        </w:rPr>
        <w:t>aus: Die Welt, 11. Juli 2005</w:t>
      </w:r>
      <w:r w:rsidR="0032634B" w:rsidRPr="0032634B">
        <w:rPr>
          <w:rFonts w:ascii="Arial" w:hAnsi="Arial"/>
          <w:i/>
          <w:sz w:val="24"/>
        </w:rPr>
        <w:t xml:space="preserve">   Zitiert nach: </w:t>
      </w:r>
      <w:r w:rsidR="0032634B" w:rsidRPr="0032634B">
        <w:rPr>
          <w:i/>
        </w:rPr>
        <w:t xml:space="preserve"> </w:t>
      </w:r>
      <w:r w:rsidR="0032634B" w:rsidRPr="0032634B">
        <w:rPr>
          <w:rFonts w:ascii="Arial" w:hAnsi="Arial" w:cs="Arial"/>
          <w:i/>
          <w:sz w:val="24"/>
        </w:rPr>
        <w:t>Fachdezernenten Mathematik der 5 B</w:t>
      </w:r>
      <w:r w:rsidR="0032634B" w:rsidRPr="0032634B">
        <w:rPr>
          <w:rFonts w:ascii="Arial" w:hAnsi="Arial" w:cs="Arial"/>
          <w:i/>
          <w:sz w:val="24"/>
        </w:rPr>
        <w:t>e</w:t>
      </w:r>
      <w:r w:rsidR="0032634B" w:rsidRPr="0032634B">
        <w:rPr>
          <w:rFonts w:ascii="Arial" w:hAnsi="Arial" w:cs="Arial"/>
          <w:i/>
          <w:sz w:val="24"/>
        </w:rPr>
        <w:t>zirksregierungen in NRW lk31</w:t>
      </w:r>
    </w:p>
    <w:p w:rsidR="0032634B" w:rsidRDefault="0032634B" w:rsidP="0032634B">
      <w:pPr>
        <w:autoSpaceDE w:val="0"/>
        <w:autoSpaceDN w:val="0"/>
        <w:adjustRightInd w:val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Aufgabenstellung dort: </w:t>
      </w:r>
    </w:p>
    <w:p w:rsidR="0032634B" w:rsidRPr="0032634B" w:rsidRDefault="0032634B" w:rsidP="0032634B">
      <w:pPr>
        <w:autoSpaceDE w:val="0"/>
        <w:autoSpaceDN w:val="0"/>
        <w:adjustRightInd w:val="0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24"/>
        </w:rPr>
        <w:t>„</w:t>
      </w:r>
      <w:r w:rsidRPr="0032634B">
        <w:rPr>
          <w:rFonts w:ascii="Arial" w:hAnsi="Arial" w:cs="Arial"/>
          <w:sz w:val="24"/>
          <w:szCs w:val="24"/>
        </w:rPr>
        <w:t>Ermitteln Sie, wie viel Prozent der für den</w:t>
      </w:r>
      <w:r>
        <w:rPr>
          <w:rFonts w:ascii="Arial" w:hAnsi="Arial" w:cs="Arial"/>
          <w:sz w:val="24"/>
          <w:szCs w:val="24"/>
        </w:rPr>
        <w:t xml:space="preserve"> </w:t>
      </w:r>
      <w:r w:rsidRPr="0032634B">
        <w:rPr>
          <w:rFonts w:ascii="Arial" w:hAnsi="Arial" w:cs="Arial"/>
          <w:sz w:val="24"/>
          <w:szCs w:val="24"/>
        </w:rPr>
        <w:t>Zeitungsartikel befragten Frauen Wes</w:t>
      </w:r>
      <w:r w:rsidRPr="0032634B">
        <w:rPr>
          <w:rFonts w:ascii="Arial" w:hAnsi="Arial" w:cs="Arial"/>
          <w:sz w:val="24"/>
          <w:szCs w:val="24"/>
        </w:rPr>
        <w:t>t</w:t>
      </w:r>
      <w:r w:rsidRPr="0032634B">
        <w:rPr>
          <w:rFonts w:ascii="Arial" w:hAnsi="Arial" w:cs="Arial"/>
          <w:sz w:val="24"/>
          <w:szCs w:val="24"/>
        </w:rPr>
        <w:t>deutsche</w:t>
      </w:r>
      <w:r>
        <w:rPr>
          <w:rFonts w:ascii="Arial" w:hAnsi="Arial" w:cs="Arial"/>
          <w:sz w:val="24"/>
          <w:szCs w:val="24"/>
        </w:rPr>
        <w:t xml:space="preserve"> </w:t>
      </w:r>
      <w:r w:rsidRPr="0032634B">
        <w:rPr>
          <w:rFonts w:ascii="Arial" w:hAnsi="Arial" w:cs="Arial"/>
          <w:sz w:val="24"/>
          <w:szCs w:val="24"/>
        </w:rPr>
        <w:t>sind. Zeichnen Sie ein Baumdiagramm.</w:t>
      </w:r>
      <w:r>
        <w:rPr>
          <w:rFonts w:ascii="Arial" w:hAnsi="Arial" w:cs="Arial"/>
          <w:sz w:val="24"/>
          <w:szCs w:val="24"/>
        </w:rPr>
        <w:t>“</w:t>
      </w:r>
    </w:p>
    <w:sectPr w:rsidR="0032634B" w:rsidRPr="0032634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8EE"/>
    <w:rsid w:val="002318EE"/>
    <w:rsid w:val="0032634B"/>
    <w:rsid w:val="0093188A"/>
    <w:rsid w:val="00B7338F"/>
    <w:rsid w:val="00D95C76"/>
    <w:rsid w:val="00EB4808"/>
    <w:rsid w:val="00F5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pPr>
      <w:tabs>
        <w:tab w:val="left" w:pos="425"/>
        <w:tab w:val="left" w:pos="851"/>
      </w:tabs>
      <w:jc w:val="right"/>
    </w:pPr>
    <w:rPr>
      <w:rFonts w:ascii="Verdana" w:hAnsi="Verdana"/>
      <w:i/>
      <w:sz w:val="16"/>
    </w:rPr>
  </w:style>
  <w:style w:type="paragraph" w:customStyle="1" w:styleId="1">
    <w:name w:val="Ü1"/>
    <w:basedOn w:val="Standard"/>
    <w:pPr>
      <w:pBdr>
        <w:bottom w:val="single" w:sz="4" w:space="1" w:color="auto"/>
      </w:pBdr>
      <w:tabs>
        <w:tab w:val="left" w:pos="425"/>
        <w:tab w:val="left" w:pos="851"/>
      </w:tabs>
      <w:jc w:val="center"/>
    </w:pPr>
    <w:rPr>
      <w:rFonts w:ascii="Arial" w:hAnsi="Arial"/>
      <w:b/>
      <w:sz w:val="36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Zeitung">
    <w:name w:val="Zeitung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  <w:tab w:val="left" w:pos="851"/>
      </w:tabs>
      <w:ind w:left="1134" w:right="1134"/>
      <w:jc w:val="both"/>
    </w:pPr>
    <w:rPr>
      <w:sz w:val="24"/>
    </w:rPr>
  </w:style>
  <w:style w:type="paragraph" w:customStyle="1" w:styleId="Artikel12">
    <w:name w:val="Artikel12"/>
    <w:basedOn w:val="Standard"/>
    <w:pPr>
      <w:tabs>
        <w:tab w:val="left" w:pos="425"/>
        <w:tab w:val="left" w:pos="851"/>
      </w:tabs>
      <w:jc w:val="both"/>
    </w:pPr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/>
      <w:sz w:val="24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table" w:styleId="Tabellengitternetz">
    <w:name w:val="Table Grid"/>
    <w:basedOn w:val="NormaleTabelle"/>
    <w:uiPriority w:val="59"/>
    <w:rsid w:val="00EB4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arn-line.nrw.de" TargetMode="External"/><Relationship Id="rId5" Type="http://schemas.openxmlformats.org/officeDocument/2006/relationships/hyperlink" Target="http://www.destati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1D1A-B94F-4A18-9221-0E70AABE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Baumdiagramme</vt:lpstr>
    </vt:vector>
  </TitlesOfParts>
  <Company>mued</Company>
  <LinksUpToDate>false</LinksUpToDate>
  <CharactersWithSpaces>2333</CharactersWithSpaces>
  <SharedDoc>false</SharedDoc>
  <HLinks>
    <vt:vector size="12" baseType="variant"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http://www.learn-line.nrw.de/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Baumdiagramme</dc:title>
  <dc:creator>Heinz Böer</dc:creator>
  <cp:lastModifiedBy>Brauner</cp:lastModifiedBy>
  <cp:revision>2</cp:revision>
  <cp:lastPrinted>2008-05-06T20:20:00Z</cp:lastPrinted>
  <dcterms:created xsi:type="dcterms:W3CDTF">2013-02-18T15:52:00Z</dcterms:created>
  <dcterms:modified xsi:type="dcterms:W3CDTF">2013-02-18T15:52:00Z</dcterms:modified>
</cp:coreProperties>
</file>