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8F" w:rsidRPr="008A3909" w:rsidRDefault="00357C8F" w:rsidP="00357C8F">
      <w:pPr>
        <w:spacing w:before="100" w:beforeAutospacing="1" w:after="120" w:line="240" w:lineRule="atLeast"/>
        <w:jc w:val="righ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A390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Q1, UV XI, Sequenz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  <w:r w:rsidRPr="008A390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I, </w:t>
      </w:r>
      <w:r w:rsidR="00575135">
        <w:rPr>
          <w:rFonts w:ascii="Arial" w:eastAsia="Times New Roman" w:hAnsi="Arial" w:cs="Arial"/>
          <w:b/>
          <w:color w:val="000000"/>
          <w:sz w:val="24"/>
          <w:szCs w:val="24"/>
        </w:rPr>
        <w:t>M13</w:t>
      </w:r>
      <w:bookmarkStart w:id="0" w:name="_GoBack"/>
      <w:bookmarkEnd w:id="0"/>
    </w:p>
    <w:p w:rsidR="00A54829" w:rsidRDefault="003607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proofErr w:type="spellStart"/>
      <w:r w:rsidR="000636F0">
        <w:rPr>
          <w:rFonts w:ascii="Arial" w:hAnsi="Arial" w:cs="Arial"/>
          <w:b/>
        </w:rPr>
        <w:t>Nützlichkeitkeitsprinzip</w:t>
      </w:r>
      <w:proofErr w:type="spellEnd"/>
      <w:r w:rsidR="000636F0">
        <w:rPr>
          <w:rFonts w:ascii="Arial" w:hAnsi="Arial" w:cs="Arial"/>
          <w:b/>
        </w:rPr>
        <w:t xml:space="preserve"> </w:t>
      </w:r>
      <w:r w:rsidRPr="003607A2">
        <w:rPr>
          <w:rFonts w:ascii="Arial" w:hAnsi="Arial" w:cs="Arial"/>
          <w:b/>
        </w:rPr>
        <w:t>versus kategorischer Imperativ</w:t>
      </w:r>
    </w:p>
    <w:p w:rsidR="00F31BCE" w:rsidRDefault="000636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r w:rsidR="00F208C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olgenden soll erörtert werden, ob eher </w:t>
      </w:r>
      <w:r w:rsidR="00390FA5">
        <w:rPr>
          <w:rFonts w:ascii="Arial" w:hAnsi="Arial" w:cs="Arial"/>
        </w:rPr>
        <w:t xml:space="preserve">das Nützlichkeitsprinzip oder der kategorische Imperativ geeignet </w:t>
      </w:r>
      <w:r w:rsidR="007D3C72">
        <w:rPr>
          <w:rFonts w:ascii="Arial" w:hAnsi="Arial" w:cs="Arial"/>
        </w:rPr>
        <w:t>ist</w:t>
      </w:r>
      <w:r w:rsidR="00390FA5">
        <w:rPr>
          <w:rFonts w:ascii="Arial" w:hAnsi="Arial" w:cs="Arial"/>
        </w:rPr>
        <w:t>, in moralischen Fragen der Gegenwart Orientierung zu geben.</w:t>
      </w:r>
      <w:r w:rsidR="00914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Dazu ist es zunächst notwendig</w:t>
      </w:r>
      <w:r w:rsidR="00390FA5">
        <w:rPr>
          <w:rFonts w:ascii="Arial" w:hAnsi="Arial" w:cs="Arial"/>
        </w:rPr>
        <w:t xml:space="preserve">, Unterschiede zwischen </w:t>
      </w:r>
      <w:r w:rsidR="00F31BCE">
        <w:rPr>
          <w:rFonts w:ascii="Arial" w:hAnsi="Arial" w:cs="Arial"/>
        </w:rPr>
        <w:t>der utilitaristischen und der deontologischen Ethik</w:t>
      </w:r>
      <w:r w:rsidR="00390FA5">
        <w:rPr>
          <w:rFonts w:ascii="Arial" w:hAnsi="Arial" w:cs="Arial"/>
        </w:rPr>
        <w:t xml:space="preserve"> zu erarbeiten und </w:t>
      </w:r>
      <w:r w:rsidR="00F208C6">
        <w:rPr>
          <w:rFonts w:ascii="Arial" w:hAnsi="Arial" w:cs="Arial"/>
        </w:rPr>
        <w:t xml:space="preserve">beide Positionen </w:t>
      </w:r>
      <w:r w:rsidR="007D3C72">
        <w:rPr>
          <w:rFonts w:ascii="Arial" w:hAnsi="Arial" w:cs="Arial"/>
        </w:rPr>
        <w:t xml:space="preserve"> </w:t>
      </w:r>
      <w:r w:rsidR="00DA6C9C">
        <w:rPr>
          <w:rFonts w:ascii="Arial" w:hAnsi="Arial" w:cs="Arial"/>
        </w:rPr>
        <w:t xml:space="preserve">hinsichtlich ihrer Tragfähigkeit </w:t>
      </w:r>
      <w:r w:rsidR="00390FA5">
        <w:rPr>
          <w:rFonts w:ascii="Arial" w:hAnsi="Arial" w:cs="Arial"/>
        </w:rPr>
        <w:t xml:space="preserve"> zu bewerten.</w:t>
      </w:r>
      <w:r w:rsidR="00F31BCE">
        <w:rPr>
          <w:rFonts w:ascii="Arial" w:hAnsi="Arial" w:cs="Arial"/>
        </w:rPr>
        <w:t xml:space="preserve"> Die </w:t>
      </w:r>
      <w:r w:rsidR="00F208C6">
        <w:rPr>
          <w:rFonts w:ascii="Arial" w:hAnsi="Arial" w:cs="Arial"/>
        </w:rPr>
        <w:t xml:space="preserve">darauf basierende </w:t>
      </w:r>
      <w:r w:rsidR="00F31BCE">
        <w:rPr>
          <w:rFonts w:ascii="Arial" w:hAnsi="Arial" w:cs="Arial"/>
        </w:rPr>
        <w:t>eigene Position</w:t>
      </w:r>
      <w:r w:rsidR="00F208C6">
        <w:rPr>
          <w:rFonts w:ascii="Arial" w:hAnsi="Arial" w:cs="Arial"/>
        </w:rPr>
        <w:t xml:space="preserve">ierung </w:t>
      </w:r>
      <w:r w:rsidR="00F31BCE">
        <w:rPr>
          <w:rFonts w:ascii="Arial" w:hAnsi="Arial" w:cs="Arial"/>
        </w:rPr>
        <w:t xml:space="preserve"> soll auf den Prüfstand gestellt werden durch eine Auseinandersetzung mit eine</w:t>
      </w:r>
      <w:r w:rsidR="00ED3664">
        <w:rPr>
          <w:rFonts w:ascii="Arial" w:hAnsi="Arial" w:cs="Arial"/>
        </w:rPr>
        <w:t>r kontrovers diskutierten Frage</w:t>
      </w:r>
      <w:r w:rsidR="00F31BCE">
        <w:rPr>
          <w:rFonts w:ascii="Arial" w:hAnsi="Arial" w:cs="Arial"/>
        </w:rPr>
        <w:t xml:space="preserve"> aus der jüngsten politischen </w:t>
      </w:r>
      <w:r w:rsidR="00ED3664">
        <w:rPr>
          <w:rFonts w:ascii="Arial" w:hAnsi="Arial" w:cs="Arial"/>
        </w:rPr>
        <w:t>Geschichte.</w:t>
      </w:r>
    </w:p>
    <w:p w:rsidR="003607A2" w:rsidRPr="00390FA5" w:rsidRDefault="000636F0" w:rsidP="00390FA5">
      <w:pPr>
        <w:spacing w:after="120"/>
        <w:rPr>
          <w:rFonts w:ascii="Arial" w:hAnsi="Arial" w:cs="Arial"/>
          <w:u w:val="single"/>
        </w:rPr>
      </w:pPr>
      <w:r w:rsidRPr="00390FA5">
        <w:rPr>
          <w:rFonts w:ascii="Arial" w:hAnsi="Arial" w:cs="Arial"/>
          <w:u w:val="single"/>
        </w:rPr>
        <w:t>Mögliche Aufgabenstellung:</w:t>
      </w:r>
    </w:p>
    <w:p w:rsidR="001C1361" w:rsidRDefault="00F208C6" w:rsidP="001C1361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Vergleichen Sie </w:t>
      </w:r>
      <w:r w:rsidR="00914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</w:t>
      </w:r>
      <w:r w:rsidR="00914EC8">
        <w:rPr>
          <w:rFonts w:ascii="Arial" w:hAnsi="Arial" w:cs="Arial"/>
        </w:rPr>
        <w:t xml:space="preserve">ethischen Positionen </w:t>
      </w:r>
      <w:r>
        <w:rPr>
          <w:rFonts w:ascii="Arial" w:hAnsi="Arial" w:cs="Arial"/>
        </w:rPr>
        <w:t xml:space="preserve">von </w:t>
      </w:r>
      <w:r w:rsidR="00914EC8">
        <w:rPr>
          <w:rFonts w:ascii="Arial" w:hAnsi="Arial" w:cs="Arial"/>
        </w:rPr>
        <w:t xml:space="preserve">Mill und Kant und  </w:t>
      </w:r>
      <w:r>
        <w:rPr>
          <w:rFonts w:ascii="Arial" w:hAnsi="Arial" w:cs="Arial"/>
        </w:rPr>
        <w:t xml:space="preserve">bewerten Sie Ihre Tragfähigkeit zur Orientierung in moralischen Fragen. </w:t>
      </w:r>
    </w:p>
    <w:p w:rsidR="001C1361" w:rsidRDefault="00F208C6" w:rsidP="001C1361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1C1361">
        <w:rPr>
          <w:rFonts w:ascii="Arial" w:hAnsi="Arial" w:cs="Arial"/>
        </w:rPr>
        <w:t xml:space="preserve">Erörtern Sie, </w:t>
      </w:r>
      <w:r w:rsidR="001A52B1" w:rsidRPr="001C1361">
        <w:rPr>
          <w:rFonts w:ascii="Arial" w:hAnsi="Arial" w:cs="Arial"/>
        </w:rPr>
        <w:t xml:space="preserve">ob eher das Nutzenprinzip oder der kategorische Imperativ geeignet ist,  moralische </w:t>
      </w:r>
      <w:r w:rsidRPr="001C1361">
        <w:rPr>
          <w:rFonts w:ascii="Arial" w:hAnsi="Arial" w:cs="Arial"/>
        </w:rPr>
        <w:t xml:space="preserve">Probleme und </w:t>
      </w:r>
      <w:proofErr w:type="spellStart"/>
      <w:r w:rsidRPr="001C1361">
        <w:rPr>
          <w:rFonts w:ascii="Arial" w:hAnsi="Arial" w:cs="Arial"/>
        </w:rPr>
        <w:t>Dilemmasituationen</w:t>
      </w:r>
      <w:proofErr w:type="spellEnd"/>
      <w:r w:rsidRPr="001C1361">
        <w:rPr>
          <w:rFonts w:ascii="Arial" w:hAnsi="Arial" w:cs="Arial"/>
        </w:rPr>
        <w:t xml:space="preserve"> zu lösen. </w:t>
      </w:r>
    </w:p>
    <w:p w:rsidR="00EA6D78" w:rsidRPr="001C1361" w:rsidRDefault="00ED3664" w:rsidP="001C1361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1C1361">
        <w:rPr>
          <w:rFonts w:ascii="Arial" w:hAnsi="Arial" w:cs="Arial"/>
        </w:rPr>
        <w:t>Er</w:t>
      </w:r>
      <w:r w:rsidR="008B2CAD" w:rsidRPr="001C1361">
        <w:rPr>
          <w:rFonts w:ascii="Arial" w:hAnsi="Arial" w:cs="Arial"/>
        </w:rPr>
        <w:t xml:space="preserve">läutern Sie, wie </w:t>
      </w:r>
      <w:r w:rsidRPr="001C1361">
        <w:rPr>
          <w:rFonts w:ascii="Arial" w:hAnsi="Arial" w:cs="Arial"/>
        </w:rPr>
        <w:t xml:space="preserve"> das Luftsicherheitsdilemma </w:t>
      </w:r>
      <w:r w:rsidR="00390FA5" w:rsidRPr="001C1361">
        <w:rPr>
          <w:rFonts w:ascii="Arial" w:hAnsi="Arial" w:cs="Arial"/>
        </w:rPr>
        <w:t xml:space="preserve">von der utilitaristischen und der kantischen </w:t>
      </w:r>
      <w:r w:rsidRPr="001C1361">
        <w:rPr>
          <w:rFonts w:ascii="Arial" w:hAnsi="Arial" w:cs="Arial"/>
        </w:rPr>
        <w:t>Ethik</w:t>
      </w:r>
      <w:r w:rsidR="00390FA5" w:rsidRPr="001C1361">
        <w:rPr>
          <w:rFonts w:ascii="Arial" w:hAnsi="Arial" w:cs="Arial"/>
        </w:rPr>
        <w:t xml:space="preserve"> her </w:t>
      </w:r>
      <w:r w:rsidR="008B2CAD" w:rsidRPr="001C1361">
        <w:rPr>
          <w:rFonts w:ascii="Arial" w:hAnsi="Arial" w:cs="Arial"/>
        </w:rPr>
        <w:t xml:space="preserve">zu entscheiden ist </w:t>
      </w:r>
      <w:r w:rsidR="00390FA5" w:rsidRPr="001C1361">
        <w:rPr>
          <w:rFonts w:ascii="Arial" w:hAnsi="Arial" w:cs="Arial"/>
        </w:rPr>
        <w:t xml:space="preserve">und </w:t>
      </w:r>
      <w:r w:rsidR="008B2CAD" w:rsidRPr="001C1361">
        <w:rPr>
          <w:rFonts w:ascii="Arial" w:hAnsi="Arial" w:cs="Arial"/>
        </w:rPr>
        <w:t xml:space="preserve">erörtern Sie argumentativ abwägend die vom Bundeverfassungsgericht getroffene Entscheidung gegen den Abschuss. </w:t>
      </w:r>
    </w:p>
    <w:p w:rsidR="000636F0" w:rsidRDefault="000636F0"/>
    <w:p w:rsidR="003607A2" w:rsidRPr="00DA6C9C" w:rsidRDefault="002A6F33">
      <w:pPr>
        <w:rPr>
          <w:rFonts w:ascii="Arial" w:hAnsi="Arial" w:cs="Arial"/>
          <w:b/>
        </w:rPr>
      </w:pPr>
      <w:r w:rsidRPr="00DA6C9C">
        <w:rPr>
          <w:rFonts w:ascii="Arial" w:hAnsi="Arial" w:cs="Arial"/>
          <w:b/>
        </w:rPr>
        <w:t xml:space="preserve">M1 Matrix zur Entwicklung einer eigenen Stellungnahme </w:t>
      </w:r>
      <w:r w:rsidR="00DA6C9C" w:rsidRPr="00DA6C9C">
        <w:rPr>
          <w:rFonts w:ascii="Arial" w:hAnsi="Arial" w:cs="Arial"/>
          <w:b/>
        </w:rPr>
        <w:t>zur utilitaristischen / deontologischen Ethik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A6F33" w:rsidTr="002A6F33">
        <w:tc>
          <w:tcPr>
            <w:tcW w:w="4606" w:type="dxa"/>
          </w:tcPr>
          <w:p w:rsidR="002A6F33" w:rsidRP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2A6F33">
              <w:rPr>
                <w:rFonts w:ascii="Arial" w:hAnsi="Arial" w:cs="Arial"/>
                <w:b/>
              </w:rPr>
              <w:t>tilitaris</w:t>
            </w:r>
            <w:r>
              <w:rPr>
                <w:rFonts w:ascii="Arial" w:hAnsi="Arial" w:cs="Arial"/>
                <w:b/>
              </w:rPr>
              <w:t>tische Ethik (Mill)</w:t>
            </w:r>
          </w:p>
        </w:tc>
        <w:tc>
          <w:tcPr>
            <w:tcW w:w="4606" w:type="dxa"/>
          </w:tcPr>
          <w:p w:rsidR="002A6F33" w:rsidRP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Deontologische Ethik (Kant)</w:t>
            </w:r>
          </w:p>
        </w:tc>
      </w:tr>
      <w:tr w:rsidR="002A6F33" w:rsidTr="00BB23E5">
        <w:tc>
          <w:tcPr>
            <w:tcW w:w="9212" w:type="dxa"/>
            <w:gridSpan w:val="2"/>
          </w:tcPr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Gemeinsamkeiten:</w:t>
            </w:r>
          </w:p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2A6F33" w:rsidTr="002A6F33">
        <w:tc>
          <w:tcPr>
            <w:tcW w:w="4606" w:type="dxa"/>
          </w:tcPr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Unterschiede:</w:t>
            </w:r>
          </w:p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606" w:type="dxa"/>
          </w:tcPr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Unterschiede:</w:t>
            </w:r>
          </w:p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2A6F33" w:rsidTr="002A6F33">
        <w:tc>
          <w:tcPr>
            <w:tcW w:w="4606" w:type="dxa"/>
          </w:tcPr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  <w:r w:rsidR="00E86AE7">
              <w:rPr>
                <w:rFonts w:ascii="Arial" w:hAnsi="Arial" w:cs="Arial"/>
              </w:rPr>
              <w:t xml:space="preserve">wertung </w:t>
            </w:r>
            <w:r>
              <w:rPr>
                <w:rFonts w:ascii="Arial" w:hAnsi="Arial" w:cs="Arial"/>
              </w:rPr>
              <w:t>der Tragfähigkeit:</w:t>
            </w:r>
          </w:p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4606" w:type="dxa"/>
          </w:tcPr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  <w:r w:rsidR="00E86AE7">
              <w:rPr>
                <w:rFonts w:ascii="Arial" w:hAnsi="Arial" w:cs="Arial"/>
              </w:rPr>
              <w:t>wertung</w:t>
            </w:r>
            <w:r>
              <w:rPr>
                <w:rFonts w:ascii="Arial" w:hAnsi="Arial" w:cs="Arial"/>
              </w:rPr>
              <w:t xml:space="preserve"> der Tragfähigkeit:</w:t>
            </w:r>
          </w:p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2A6F33" w:rsidTr="00BF199C">
        <w:tc>
          <w:tcPr>
            <w:tcW w:w="9212" w:type="dxa"/>
            <w:gridSpan w:val="2"/>
          </w:tcPr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Position</w:t>
            </w:r>
            <w:r w:rsidR="00E86AE7">
              <w:rPr>
                <w:rFonts w:ascii="Arial" w:hAnsi="Arial" w:cs="Arial"/>
              </w:rPr>
              <w:t>ierung</w:t>
            </w:r>
          </w:p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2A6F33" w:rsidTr="00FE3D48">
        <w:tc>
          <w:tcPr>
            <w:tcW w:w="9212" w:type="dxa"/>
            <w:gridSpan w:val="2"/>
          </w:tcPr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Begründung:</w:t>
            </w:r>
          </w:p>
          <w:p w:rsidR="002A6F33" w:rsidRDefault="002A6F33" w:rsidP="002A6F3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:rsidR="00FA15CF" w:rsidRDefault="00FA15CF" w:rsidP="007D3C72">
      <w:pPr>
        <w:spacing w:after="120"/>
        <w:rPr>
          <w:rFonts w:ascii="Arial" w:hAnsi="Arial" w:cs="Arial"/>
          <w:b/>
        </w:rPr>
      </w:pPr>
    </w:p>
    <w:p w:rsidR="001C1361" w:rsidRDefault="001C1361" w:rsidP="007D3C72">
      <w:pPr>
        <w:spacing w:after="120"/>
        <w:rPr>
          <w:rFonts w:ascii="Arial" w:hAnsi="Arial" w:cs="Arial"/>
          <w:b/>
        </w:rPr>
      </w:pPr>
    </w:p>
    <w:p w:rsidR="001C1361" w:rsidRDefault="001C1361" w:rsidP="007D3C72">
      <w:pPr>
        <w:spacing w:after="120"/>
        <w:rPr>
          <w:rFonts w:ascii="Arial" w:hAnsi="Arial" w:cs="Arial"/>
          <w:b/>
        </w:rPr>
      </w:pPr>
    </w:p>
    <w:p w:rsidR="001C1361" w:rsidRDefault="001C1361" w:rsidP="007D3C72">
      <w:pPr>
        <w:spacing w:after="120"/>
        <w:rPr>
          <w:rFonts w:ascii="Arial" w:hAnsi="Arial" w:cs="Arial"/>
          <w:b/>
        </w:rPr>
      </w:pPr>
    </w:p>
    <w:p w:rsidR="001C1361" w:rsidRDefault="001C1361" w:rsidP="007D3C72">
      <w:pPr>
        <w:spacing w:after="120"/>
        <w:rPr>
          <w:rFonts w:ascii="Arial" w:hAnsi="Arial" w:cs="Arial"/>
          <w:b/>
        </w:rPr>
      </w:pPr>
    </w:p>
    <w:p w:rsidR="001C1361" w:rsidRDefault="001C1361" w:rsidP="007D3C72">
      <w:pPr>
        <w:spacing w:after="120"/>
        <w:rPr>
          <w:rFonts w:ascii="Arial" w:hAnsi="Arial" w:cs="Arial"/>
          <w:b/>
        </w:rPr>
      </w:pPr>
    </w:p>
    <w:p w:rsidR="00DA6C9C" w:rsidRDefault="00DA6C9C" w:rsidP="007D3C72">
      <w:pPr>
        <w:spacing w:after="120"/>
        <w:rPr>
          <w:rFonts w:ascii="Arial" w:hAnsi="Arial" w:cs="Arial"/>
        </w:rPr>
      </w:pPr>
      <w:r w:rsidRPr="00F31BCE">
        <w:rPr>
          <w:rFonts w:ascii="Arial" w:hAnsi="Arial" w:cs="Arial"/>
          <w:b/>
        </w:rPr>
        <w:t xml:space="preserve">M2 </w:t>
      </w:r>
      <w:r w:rsidR="007D3C72">
        <w:rPr>
          <w:rFonts w:ascii="Arial" w:hAnsi="Arial" w:cs="Arial"/>
          <w:b/>
        </w:rPr>
        <w:t xml:space="preserve">Eine Frage der </w:t>
      </w:r>
      <w:r w:rsidR="007A1517">
        <w:rPr>
          <w:rFonts w:ascii="Arial" w:hAnsi="Arial" w:cs="Arial"/>
          <w:b/>
        </w:rPr>
        <w:t>Luft</w:t>
      </w:r>
      <w:r w:rsidR="002F740D" w:rsidRPr="00F31BCE">
        <w:rPr>
          <w:rFonts w:ascii="Arial" w:hAnsi="Arial" w:cs="Arial"/>
          <w:b/>
        </w:rPr>
        <w:t>sicherheit</w:t>
      </w:r>
      <w:r w:rsidR="00BB1B3C">
        <w:rPr>
          <w:rFonts w:ascii="Arial" w:hAnsi="Arial" w:cs="Arial"/>
        </w:rPr>
        <w:t xml:space="preserve"> </w:t>
      </w:r>
    </w:p>
    <w:p w:rsidR="00412043" w:rsidRDefault="00ED3664" w:rsidP="00DB25F0">
      <w:pPr>
        <w:spacing w:after="0"/>
        <w:jc w:val="both"/>
        <w:rPr>
          <w:rFonts w:ascii="Arial" w:hAnsi="Arial" w:cs="Arial"/>
          <w:color w:val="000000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0"/>
        </w:rPr>
        <w:t>N</w:t>
      </w:r>
      <w:r w:rsidRPr="00ED3664">
        <w:rPr>
          <w:rFonts w:ascii="Arial" w:eastAsia="Times New Roman" w:hAnsi="Arial" w:cs="Arial"/>
          <w:color w:val="000000"/>
          <w:szCs w:val="20"/>
        </w:rPr>
        <w:t>ach den Terroranschlägen am 11. September 2001</w:t>
      </w:r>
      <w:r w:rsidR="00A2369F">
        <w:rPr>
          <w:rFonts w:ascii="Arial" w:eastAsia="Times New Roman" w:hAnsi="Arial" w:cs="Arial"/>
          <w:color w:val="000000"/>
          <w:szCs w:val="20"/>
        </w:rPr>
        <w:t xml:space="preserve"> in den USA</w:t>
      </w:r>
      <w:r w:rsidRPr="00ED3664">
        <w:rPr>
          <w:rFonts w:ascii="Arial" w:eastAsia="Times New Roman" w:hAnsi="Arial" w:cs="Arial"/>
          <w:color w:val="00000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Cs w:val="20"/>
        </w:rPr>
        <w:t xml:space="preserve">wurde auch in Deutschland folgende Frage kontrovers diskutiert: </w:t>
      </w:r>
      <w:r w:rsidR="00412043" w:rsidRPr="0099625B">
        <w:rPr>
          <w:rFonts w:ascii="Arial" w:hAnsi="Arial" w:cs="Arial"/>
          <w:color w:val="000000"/>
          <w:szCs w:val="19"/>
          <w:shd w:val="clear" w:color="auto" w:fill="FFFFFF"/>
        </w:rPr>
        <w:t xml:space="preserve">Ist es moralisch zu rechtfertigen, dass man ein von Terroristen </w:t>
      </w:r>
      <w:r>
        <w:rPr>
          <w:rFonts w:ascii="Arial" w:hAnsi="Arial" w:cs="Arial"/>
          <w:color w:val="000000"/>
          <w:szCs w:val="19"/>
          <w:shd w:val="clear" w:color="auto" w:fill="FFFFFF"/>
        </w:rPr>
        <w:t>entführtes Flugzeug abschießt, „</w:t>
      </w:r>
      <w:r w:rsidR="00412043" w:rsidRPr="0099625B">
        <w:rPr>
          <w:rFonts w:ascii="Arial" w:hAnsi="Arial" w:cs="Arial"/>
          <w:color w:val="000000"/>
          <w:szCs w:val="19"/>
          <w:shd w:val="clear" w:color="auto" w:fill="FFFFFF"/>
        </w:rPr>
        <w:t xml:space="preserve">wenn nach den Umständen davon auszugehen ist, dass das Luftfahrzeug gegen das Leben von </w:t>
      </w:r>
      <w:r>
        <w:rPr>
          <w:rFonts w:ascii="Arial" w:hAnsi="Arial" w:cs="Arial"/>
          <w:color w:val="000000"/>
          <w:szCs w:val="19"/>
          <w:shd w:val="clear" w:color="auto" w:fill="FFFFFF"/>
        </w:rPr>
        <w:t>Menschen eingesetzt werden soll</w:t>
      </w:r>
      <w:r w:rsidR="00412043" w:rsidRPr="0099625B">
        <w:rPr>
          <w:rFonts w:ascii="Arial" w:hAnsi="Arial" w:cs="Arial"/>
          <w:color w:val="000000"/>
          <w:szCs w:val="19"/>
          <w:shd w:val="clear" w:color="auto" w:fill="FFFFFF"/>
        </w:rPr>
        <w:t>?</w:t>
      </w:r>
      <w:r>
        <w:rPr>
          <w:rFonts w:ascii="Arial" w:hAnsi="Arial" w:cs="Arial"/>
          <w:color w:val="000000"/>
          <w:szCs w:val="19"/>
          <w:shd w:val="clear" w:color="auto" w:fill="FFFFFF"/>
        </w:rPr>
        <w:t>“</w:t>
      </w:r>
      <w:r w:rsidR="001C1361" w:rsidRPr="001C1361">
        <w:rPr>
          <w:rFonts w:ascii="Arial" w:hAnsi="Arial" w:cs="Arial"/>
          <w:color w:val="000000"/>
          <w:szCs w:val="19"/>
          <w:shd w:val="clear" w:color="auto" w:fill="FFFFFF"/>
          <w:vertAlign w:val="superscript"/>
        </w:rPr>
        <w:t>1</w:t>
      </w:r>
    </w:p>
    <w:p w:rsidR="00E86AE7" w:rsidRPr="00E86AE7" w:rsidRDefault="001C1361" w:rsidP="00E86AE7">
      <w:pPr>
        <w:pStyle w:val="HTMLVorformatiert"/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86AE7">
        <w:rPr>
          <w:rFonts w:ascii="Arial" w:hAnsi="Arial" w:cs="Arial"/>
          <w:color w:val="000000"/>
          <w:sz w:val="22"/>
          <w:szCs w:val="22"/>
          <w:shd w:val="clear" w:color="auto" w:fill="FFFFFF"/>
        </w:rPr>
        <w:t>Am 11. Januar 2005 verabschiedete der Deutsche Bundestag</w:t>
      </w:r>
      <w:r w:rsidR="00DB25F0" w:rsidRPr="00E86A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ein Gesetz zur Neuregelung der Luftsicherheitsaufgaben</w:t>
      </w:r>
      <w:r w:rsidRPr="00E86AE7">
        <w:rPr>
          <w:rFonts w:ascii="Arial" w:hAnsi="Arial" w:cs="Arial"/>
          <w:color w:val="000000"/>
          <w:sz w:val="22"/>
          <w:szCs w:val="22"/>
          <w:shd w:val="clear" w:color="auto" w:fill="FFFFFF"/>
        </w:rPr>
        <w:t>, das</w:t>
      </w:r>
      <w:r w:rsidR="00DB25F0" w:rsidRPr="00E86A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§ 14, Abs. 3</w:t>
      </w:r>
      <w:r w:rsidR="00E86AE7" w:rsidRPr="00E86AE7">
        <w:rPr>
          <w:rFonts w:ascii="Arial" w:hAnsi="Arial" w:cs="Arial"/>
          <w:color w:val="000000"/>
          <w:sz w:val="22"/>
          <w:szCs w:val="22"/>
        </w:rPr>
        <w:t>) die Streitkräfte ermächtigt, Luftfahrzeuge, die als Tatwaffe gegen das Leben von Menschen eingesetzt werden sollen, abzuschießen.</w:t>
      </w:r>
    </w:p>
    <w:p w:rsidR="00ED3664" w:rsidRPr="00E86AE7" w:rsidRDefault="00DB25F0" w:rsidP="00E86AE7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E86AE7">
        <w:rPr>
          <w:rFonts w:ascii="Arial" w:eastAsia="Times New Roman" w:hAnsi="Arial" w:cs="Arial"/>
          <w:color w:val="000000"/>
        </w:rPr>
        <w:t>Dagegen entschied</w:t>
      </w:r>
      <w:r w:rsidR="001C1361" w:rsidRPr="00E86AE7">
        <w:rPr>
          <w:rFonts w:ascii="Arial" w:eastAsia="Times New Roman" w:hAnsi="Arial" w:cs="Arial"/>
          <w:color w:val="000000"/>
        </w:rPr>
        <w:t xml:space="preserve"> das</w:t>
      </w:r>
      <w:r w:rsidRPr="00E86AE7">
        <w:rPr>
          <w:rFonts w:ascii="Arial" w:eastAsia="Times New Roman" w:hAnsi="Arial" w:cs="Arial"/>
        </w:rPr>
        <w:t xml:space="preserve"> </w:t>
      </w:r>
      <w:hyperlink r:id="rId8" w:tooltip="Bundesverfassungsgericht" w:history="1">
        <w:r w:rsidR="001C1361" w:rsidRPr="00E86AE7">
          <w:rPr>
            <w:rFonts w:ascii="Arial" w:eastAsia="Times New Roman" w:hAnsi="Arial" w:cs="Arial"/>
            <w:color w:val="000000"/>
          </w:rPr>
          <w:t>Bundesverfassungsgericht</w:t>
        </w:r>
      </w:hyperlink>
      <w:r w:rsidRPr="00E86AE7">
        <w:rPr>
          <w:rFonts w:ascii="Arial" w:hAnsi="Arial" w:cs="Arial"/>
          <w:color w:val="000000"/>
          <w:shd w:val="clear" w:color="auto" w:fill="FFFFFF"/>
        </w:rPr>
        <w:t xml:space="preserve"> am 15. Februar 2006, </w:t>
      </w:r>
      <w:r w:rsidR="001C1361" w:rsidRPr="00E86AE7">
        <w:rPr>
          <w:rFonts w:ascii="Arial" w:hAnsi="Arial" w:cs="Arial"/>
          <w:color w:val="000000"/>
          <w:shd w:val="clear" w:color="auto" w:fill="FFFFFF"/>
        </w:rPr>
        <w:t>dass</w:t>
      </w:r>
      <w:r w:rsidRPr="00E86A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86AE7">
        <w:rPr>
          <w:rStyle w:val="plainlinks-print"/>
          <w:rFonts w:ascii="Arial" w:hAnsi="Arial" w:cs="Arial"/>
          <w:color w:val="000000"/>
          <w:shd w:val="clear" w:color="auto" w:fill="FFFFFF"/>
        </w:rPr>
        <w:t xml:space="preserve">der entsprechende Paragraph </w:t>
      </w:r>
      <w:r w:rsidRPr="00E86AE7">
        <w:rPr>
          <w:rFonts w:ascii="Arial" w:hAnsi="Arial" w:cs="Arial"/>
          <w:color w:val="000000"/>
          <w:shd w:val="clear" w:color="auto" w:fill="FFFFFF"/>
        </w:rPr>
        <w:t>des Luftsicherheitsgesetzes</w:t>
      </w:r>
      <w:r w:rsidR="001C1361" w:rsidRPr="00E86AE7">
        <w:rPr>
          <w:rFonts w:ascii="Arial" w:hAnsi="Arial" w:cs="Arial"/>
          <w:color w:val="000000"/>
          <w:shd w:val="clear" w:color="auto" w:fill="FFFFFF"/>
        </w:rPr>
        <w:t xml:space="preserve"> verfassungswidrig und nichtig ist.</w:t>
      </w:r>
    </w:p>
    <w:p w:rsidR="00DB25F0" w:rsidRDefault="00DB25F0" w:rsidP="00DB25F0">
      <w:pPr>
        <w:spacing w:after="0"/>
        <w:jc w:val="both"/>
        <w:rPr>
          <w:rFonts w:ascii="Arial" w:hAnsi="Arial" w:cs="Arial"/>
          <w:b/>
        </w:rPr>
      </w:pPr>
    </w:p>
    <w:p w:rsidR="00DB25F0" w:rsidRPr="00DB25F0" w:rsidRDefault="00DB25F0" w:rsidP="00DB25F0">
      <w:pPr>
        <w:spacing w:after="0"/>
        <w:jc w:val="both"/>
        <w:rPr>
          <w:rFonts w:ascii="Arial" w:hAnsi="Arial" w:cs="Arial"/>
          <w:u w:val="single"/>
        </w:rPr>
      </w:pPr>
      <w:r w:rsidRPr="00DB25F0">
        <w:rPr>
          <w:rFonts w:ascii="Arial" w:hAnsi="Arial" w:cs="Arial"/>
          <w:u w:val="single"/>
        </w:rPr>
        <w:t>Anmerkung:</w:t>
      </w:r>
    </w:p>
    <w:p w:rsidR="001C1361" w:rsidRPr="0099625B" w:rsidRDefault="001C1361" w:rsidP="001C1361">
      <w:pPr>
        <w:spacing w:after="0"/>
        <w:rPr>
          <w:rFonts w:ascii="Arial" w:hAnsi="Arial" w:cs="Arial"/>
          <w:i/>
          <w:iCs/>
          <w:color w:val="000000"/>
          <w:szCs w:val="19"/>
          <w:shd w:val="clear" w:color="auto" w:fill="FFFFFF"/>
        </w:rPr>
      </w:pPr>
      <w:r w:rsidRPr="001C1361">
        <w:rPr>
          <w:rFonts w:ascii="Arial" w:hAnsi="Arial" w:cs="Arial"/>
          <w:color w:val="000000"/>
          <w:szCs w:val="19"/>
          <w:shd w:val="clear" w:color="auto" w:fill="FFFFFF"/>
          <w:vertAlign w:val="superscript"/>
        </w:rPr>
        <w:t>1</w:t>
      </w:r>
      <w:r w:rsidR="00DB25F0">
        <w:rPr>
          <w:rFonts w:ascii="Arial" w:hAnsi="Arial" w:cs="Arial"/>
          <w:color w:val="000000"/>
          <w:szCs w:val="19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000000"/>
          <w:szCs w:val="19"/>
          <w:shd w:val="clear" w:color="auto" w:fill="FFFFFF"/>
        </w:rPr>
        <w:t>§ 14, Abs. 3 Luftsicherheitsgesetz 2005</w:t>
      </w:r>
    </w:p>
    <w:p w:rsidR="00E86AE7" w:rsidRDefault="00E86AE7" w:rsidP="00E86AE7">
      <w:pPr>
        <w:spacing w:after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E86AE7" w:rsidRPr="00E86AE7" w:rsidRDefault="00E86AE7" w:rsidP="00E86AE7">
      <w:pPr>
        <w:spacing w:after="0"/>
        <w:jc w:val="both"/>
        <w:rPr>
          <w:rFonts w:ascii="Arial" w:hAnsi="Arial" w:cs="Arial"/>
          <w:color w:val="000000"/>
          <w:szCs w:val="18"/>
          <w:u w:val="single"/>
          <w:shd w:val="clear" w:color="auto" w:fill="FFFFFF"/>
        </w:rPr>
      </w:pPr>
      <w:r w:rsidRPr="00E86AE7">
        <w:rPr>
          <w:rFonts w:ascii="Arial" w:hAnsi="Arial" w:cs="Arial"/>
          <w:color w:val="000000"/>
          <w:szCs w:val="18"/>
          <w:u w:val="single"/>
          <w:shd w:val="clear" w:color="auto" w:fill="FFFFFF"/>
        </w:rPr>
        <w:t xml:space="preserve">Weitere Informationen </w:t>
      </w:r>
    </w:p>
    <w:p w:rsidR="00E86AE7" w:rsidRDefault="00E86AE7" w:rsidP="00E86AE7">
      <w:pPr>
        <w:spacing w:after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r>
        <w:rPr>
          <w:rFonts w:ascii="Arial" w:hAnsi="Arial" w:cs="Arial"/>
          <w:color w:val="000000"/>
          <w:szCs w:val="18"/>
          <w:shd w:val="clear" w:color="auto" w:fill="FFFFFF"/>
        </w:rPr>
        <w:t>zum Luftsicherheitsgesetz und zum Urteil des Bundesverfassungsgerichtes:</w:t>
      </w:r>
    </w:p>
    <w:p w:rsidR="00E86AE7" w:rsidRDefault="00575135" w:rsidP="00E86AE7">
      <w:pPr>
        <w:spacing w:after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hyperlink r:id="rId9" w:history="1">
        <w:r w:rsidR="00E86AE7" w:rsidRPr="00A50527">
          <w:rPr>
            <w:rStyle w:val="Hyperlink"/>
            <w:rFonts w:ascii="Arial" w:hAnsi="Arial" w:cs="Arial"/>
            <w:szCs w:val="18"/>
            <w:shd w:val="clear" w:color="auto" w:fill="FFFFFF"/>
          </w:rPr>
          <w:t>http://www.gesetze-im-internet.de/bundesrecht/luftsig/gesamt.pdf</w:t>
        </w:r>
      </w:hyperlink>
    </w:p>
    <w:p w:rsidR="00E86AE7" w:rsidRDefault="00575135" w:rsidP="00E86AE7">
      <w:pPr>
        <w:spacing w:after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hyperlink r:id="rId10" w:history="1">
        <w:r w:rsidR="00E86AE7" w:rsidRPr="00A50527">
          <w:rPr>
            <w:rStyle w:val="Hyperlink"/>
            <w:rFonts w:ascii="Arial" w:hAnsi="Arial" w:cs="Arial"/>
            <w:szCs w:val="18"/>
            <w:shd w:val="clear" w:color="auto" w:fill="FFFFFF"/>
          </w:rPr>
          <w:t>http://www.bundesverfassungsgericht.de/pressemitteilungen/bvg06-011.html</w:t>
        </w:r>
      </w:hyperlink>
    </w:p>
    <w:p w:rsidR="001C1361" w:rsidRDefault="001C1361" w:rsidP="002F740D">
      <w:pPr>
        <w:spacing w:before="120" w:after="120"/>
        <w:rPr>
          <w:rFonts w:ascii="Arial" w:hAnsi="Arial" w:cs="Arial"/>
          <w:b/>
        </w:rPr>
      </w:pPr>
    </w:p>
    <w:p w:rsidR="00914EC8" w:rsidRPr="002F740D" w:rsidRDefault="002F740D" w:rsidP="002F740D">
      <w:pPr>
        <w:spacing w:before="120" w:after="120"/>
        <w:rPr>
          <w:rFonts w:ascii="Arial" w:hAnsi="Arial" w:cs="Arial"/>
          <w:b/>
        </w:rPr>
      </w:pPr>
      <w:r w:rsidRPr="002F740D">
        <w:rPr>
          <w:rFonts w:ascii="Arial" w:hAnsi="Arial" w:cs="Arial"/>
          <w:b/>
        </w:rPr>
        <w:t xml:space="preserve">M3 </w:t>
      </w:r>
      <w:r w:rsidR="007D3C72">
        <w:rPr>
          <w:rFonts w:ascii="Arial" w:hAnsi="Arial" w:cs="Arial"/>
          <w:b/>
        </w:rPr>
        <w:t>Matrix zur Vorbereitung der Erörterung der</w:t>
      </w:r>
      <w:r w:rsidR="00ED3664">
        <w:rPr>
          <w:rFonts w:ascii="Arial" w:hAnsi="Arial" w:cs="Arial"/>
          <w:b/>
        </w:rPr>
        <w:t xml:space="preserve"> Luft</w:t>
      </w:r>
      <w:r w:rsidRPr="002F740D">
        <w:rPr>
          <w:rFonts w:ascii="Arial" w:hAnsi="Arial" w:cs="Arial"/>
          <w:b/>
        </w:rPr>
        <w:t>sicherheits</w:t>
      </w:r>
      <w:r w:rsidR="007D3C72">
        <w:rPr>
          <w:rFonts w:ascii="Arial" w:hAnsi="Arial" w:cs="Arial"/>
          <w:b/>
        </w:rPr>
        <w:t>frage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40D" w:rsidTr="002F740D">
        <w:tc>
          <w:tcPr>
            <w:tcW w:w="4606" w:type="dxa"/>
          </w:tcPr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  <w:r w:rsidR="00ED3664">
              <w:rPr>
                <w:rFonts w:ascii="Arial" w:hAnsi="Arial" w:cs="Arial"/>
              </w:rPr>
              <w:t>antwortung der Frage auf der Grundlage</w:t>
            </w:r>
            <w:r>
              <w:rPr>
                <w:rFonts w:ascii="Arial" w:hAnsi="Arial" w:cs="Arial"/>
              </w:rPr>
              <w:t xml:space="preserve"> </w:t>
            </w:r>
          </w:p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utilitaristischen Ethik</w:t>
            </w:r>
            <w:r w:rsidR="00ED3664">
              <w:rPr>
                <w:rFonts w:ascii="Arial" w:hAnsi="Arial" w:cs="Arial"/>
              </w:rPr>
              <w:t>:</w:t>
            </w:r>
          </w:p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606" w:type="dxa"/>
          </w:tcPr>
          <w:p w:rsidR="002F740D" w:rsidRDefault="00ED3664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Beantwortung der Frage auf der Grundlage</w:t>
            </w:r>
          </w:p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deontologischen Ethik Kants:</w:t>
            </w:r>
          </w:p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2F740D" w:rsidTr="002F740D">
        <w:tc>
          <w:tcPr>
            <w:tcW w:w="4606" w:type="dxa"/>
          </w:tcPr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606" w:type="dxa"/>
          </w:tcPr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2F740D" w:rsidTr="000D429C">
        <w:tc>
          <w:tcPr>
            <w:tcW w:w="9212" w:type="dxa"/>
            <w:gridSpan w:val="2"/>
          </w:tcPr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Eigene </w:t>
            </w:r>
            <w:r w:rsidR="00ED3664">
              <w:rPr>
                <w:rFonts w:ascii="Arial" w:hAnsi="Arial" w:cs="Arial"/>
              </w:rPr>
              <w:t>Stellungnahme:</w:t>
            </w:r>
          </w:p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2F740D" w:rsidTr="006632A9">
        <w:tc>
          <w:tcPr>
            <w:tcW w:w="9212" w:type="dxa"/>
            <w:gridSpan w:val="2"/>
          </w:tcPr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Begründung </w:t>
            </w:r>
          </w:p>
          <w:p w:rsidR="002F740D" w:rsidRDefault="002F740D" w:rsidP="002F740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(unter Rückbezug auf die utilitaristische und deontologische Position)</w:t>
            </w:r>
          </w:p>
          <w:p w:rsidR="002F740D" w:rsidRDefault="002F740D" w:rsidP="007412B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:rsidR="002F740D" w:rsidRDefault="002F740D" w:rsidP="002F740D">
      <w:pPr>
        <w:jc w:val="center"/>
        <w:rPr>
          <w:rFonts w:ascii="Arial" w:hAnsi="Arial" w:cs="Arial"/>
        </w:rPr>
      </w:pPr>
    </w:p>
    <w:p w:rsidR="00AA6A0A" w:rsidRDefault="00AA6A0A" w:rsidP="00AA6A0A">
      <w:pPr>
        <w:rPr>
          <w:rFonts w:ascii="Arial" w:hAnsi="Arial" w:cs="Arial"/>
          <w:u w:val="single"/>
        </w:rPr>
      </w:pPr>
    </w:p>
    <w:p w:rsidR="00AA6A0A" w:rsidRPr="002F740D" w:rsidRDefault="00AA6A0A" w:rsidP="00AA6A0A">
      <w:pPr>
        <w:rPr>
          <w:rFonts w:ascii="Arial" w:hAnsi="Arial" w:cs="Arial"/>
        </w:rPr>
      </w:pPr>
    </w:p>
    <w:sectPr w:rsidR="00AA6A0A" w:rsidRPr="002F740D" w:rsidSect="00A54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C9" w:rsidRDefault="006F54C9" w:rsidP="003607A2">
      <w:pPr>
        <w:spacing w:after="0" w:line="240" w:lineRule="auto"/>
      </w:pPr>
      <w:r>
        <w:separator/>
      </w:r>
    </w:p>
  </w:endnote>
  <w:endnote w:type="continuationSeparator" w:id="0">
    <w:p w:rsidR="006F54C9" w:rsidRDefault="006F54C9" w:rsidP="0036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C9" w:rsidRDefault="006F54C9" w:rsidP="003607A2">
      <w:pPr>
        <w:spacing w:after="0" w:line="240" w:lineRule="auto"/>
      </w:pPr>
      <w:r>
        <w:separator/>
      </w:r>
    </w:p>
  </w:footnote>
  <w:footnote w:type="continuationSeparator" w:id="0">
    <w:p w:rsidR="006F54C9" w:rsidRDefault="006F54C9" w:rsidP="0036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875"/>
    <w:multiLevelType w:val="hybridMultilevel"/>
    <w:tmpl w:val="B8B462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2"/>
    <w:rsid w:val="00025FC3"/>
    <w:rsid w:val="000636F0"/>
    <w:rsid w:val="000A1115"/>
    <w:rsid w:val="00166AA7"/>
    <w:rsid w:val="0019298B"/>
    <w:rsid w:val="001A0203"/>
    <w:rsid w:val="001A52B1"/>
    <w:rsid w:val="001A537B"/>
    <w:rsid w:val="001C1361"/>
    <w:rsid w:val="002A6F33"/>
    <w:rsid w:val="002F740D"/>
    <w:rsid w:val="00357C8F"/>
    <w:rsid w:val="003607A2"/>
    <w:rsid w:val="00390FA5"/>
    <w:rsid w:val="00412043"/>
    <w:rsid w:val="004F6EDF"/>
    <w:rsid w:val="00575135"/>
    <w:rsid w:val="0057646C"/>
    <w:rsid w:val="00583339"/>
    <w:rsid w:val="006614FC"/>
    <w:rsid w:val="006F54C9"/>
    <w:rsid w:val="007412BC"/>
    <w:rsid w:val="007A1517"/>
    <w:rsid w:val="007D3C72"/>
    <w:rsid w:val="008100EF"/>
    <w:rsid w:val="008B2CAD"/>
    <w:rsid w:val="00914EC8"/>
    <w:rsid w:val="00951CEE"/>
    <w:rsid w:val="0099625B"/>
    <w:rsid w:val="0099678B"/>
    <w:rsid w:val="009C64F2"/>
    <w:rsid w:val="00A2369F"/>
    <w:rsid w:val="00A54829"/>
    <w:rsid w:val="00AA6A0A"/>
    <w:rsid w:val="00AF205D"/>
    <w:rsid w:val="00BB1B3C"/>
    <w:rsid w:val="00C84E65"/>
    <w:rsid w:val="00DA6C9C"/>
    <w:rsid w:val="00DB25F0"/>
    <w:rsid w:val="00DD163E"/>
    <w:rsid w:val="00E21E59"/>
    <w:rsid w:val="00E86AE7"/>
    <w:rsid w:val="00EA6D78"/>
    <w:rsid w:val="00ED3664"/>
    <w:rsid w:val="00EE5B52"/>
    <w:rsid w:val="00F208C6"/>
    <w:rsid w:val="00F31BCE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7A2"/>
  </w:style>
  <w:style w:type="paragraph" w:styleId="Fuzeile">
    <w:name w:val="footer"/>
    <w:basedOn w:val="Standard"/>
    <w:link w:val="FuzeileZchn"/>
    <w:uiPriority w:val="99"/>
    <w:unhideWhenUsed/>
    <w:rsid w:val="0036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7A2"/>
  </w:style>
  <w:style w:type="paragraph" w:styleId="Listenabsatz">
    <w:name w:val="List Paragraph"/>
    <w:basedOn w:val="Standard"/>
    <w:uiPriority w:val="34"/>
    <w:qFormat/>
    <w:rsid w:val="001A02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A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4120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8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C1361"/>
    <w:rPr>
      <w:color w:val="0000FF"/>
      <w:u w:val="single"/>
    </w:rPr>
  </w:style>
  <w:style w:type="character" w:customStyle="1" w:styleId="plainlinks-print">
    <w:name w:val="plainlinks-print"/>
    <w:basedOn w:val="Absatz-Standardschriftart"/>
    <w:rsid w:val="001C1361"/>
  </w:style>
  <w:style w:type="paragraph" w:styleId="HTMLVorformatiert">
    <w:name w:val="HTML Preformatted"/>
    <w:basedOn w:val="Standard"/>
    <w:link w:val="HTMLVorformatiertZchn"/>
    <w:uiPriority w:val="99"/>
    <w:unhideWhenUsed/>
    <w:rsid w:val="00E86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86AE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7A2"/>
  </w:style>
  <w:style w:type="paragraph" w:styleId="Fuzeile">
    <w:name w:val="footer"/>
    <w:basedOn w:val="Standard"/>
    <w:link w:val="FuzeileZchn"/>
    <w:uiPriority w:val="99"/>
    <w:unhideWhenUsed/>
    <w:rsid w:val="0036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7A2"/>
  </w:style>
  <w:style w:type="paragraph" w:styleId="Listenabsatz">
    <w:name w:val="List Paragraph"/>
    <w:basedOn w:val="Standard"/>
    <w:uiPriority w:val="34"/>
    <w:qFormat/>
    <w:rsid w:val="001A02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A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4120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8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C1361"/>
    <w:rPr>
      <w:color w:val="0000FF"/>
      <w:u w:val="single"/>
    </w:rPr>
  </w:style>
  <w:style w:type="character" w:customStyle="1" w:styleId="plainlinks-print">
    <w:name w:val="plainlinks-print"/>
    <w:basedOn w:val="Absatz-Standardschriftart"/>
    <w:rsid w:val="001C1361"/>
  </w:style>
  <w:style w:type="paragraph" w:styleId="HTMLVorformatiert">
    <w:name w:val="HTML Preformatted"/>
    <w:basedOn w:val="Standard"/>
    <w:link w:val="HTMLVorformatiertZchn"/>
    <w:uiPriority w:val="99"/>
    <w:unhideWhenUsed/>
    <w:rsid w:val="00E86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86A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Bundesverfassungsgerich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ndesverfassungsgericht.de/pressemitteilungen/bvg06-0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etze-im-internet.de/bundesrecht/luftsig/gesamt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48FDF8E2.dotm</Template>
  <TotalTime>0</TotalTime>
  <Pages>2</Pages>
  <Words>399</Words>
  <Characters>2832</Characters>
  <Application>Microsoft Office Word</Application>
  <DocSecurity>0</DocSecurity>
  <Lines>88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Ulrich, Andrea</cp:lastModifiedBy>
  <cp:revision>4</cp:revision>
  <cp:lastPrinted>2013-02-18T14:48:00Z</cp:lastPrinted>
  <dcterms:created xsi:type="dcterms:W3CDTF">2013-09-03T11:55:00Z</dcterms:created>
  <dcterms:modified xsi:type="dcterms:W3CDTF">2013-09-03T12:12:00Z</dcterms:modified>
</cp:coreProperties>
</file>