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7A" w:rsidRPr="0088387A" w:rsidRDefault="0088387A" w:rsidP="004B237F">
      <w:pPr>
        <w:shd w:val="clear" w:color="auto" w:fill="BFBFBF" w:themeFill="background1" w:themeFillShade="BF"/>
        <w:rPr>
          <w:sz w:val="28"/>
        </w:rPr>
      </w:pPr>
      <w:r w:rsidRPr="0088387A">
        <w:rPr>
          <w:sz w:val="28"/>
        </w:rPr>
        <w:t>Konkretisierte Kompetenzerwartungen der Einführungsphase</w:t>
      </w:r>
    </w:p>
    <w:p w:rsidR="0088387A" w:rsidRPr="0088387A" w:rsidRDefault="0088387A" w:rsidP="0088387A">
      <w:pPr>
        <w:rPr>
          <w:bCs/>
          <w:color w:val="000000"/>
          <w:sz w:val="28"/>
        </w:rPr>
      </w:pPr>
    </w:p>
    <w:p w:rsidR="003B2A63" w:rsidRPr="003B2A63" w:rsidRDefault="003B2A63" w:rsidP="003B2A63">
      <w:pPr>
        <w:numPr>
          <w:ilvl w:val="0"/>
          <w:numId w:val="1"/>
        </w:numPr>
        <w:tabs>
          <w:tab w:val="left" w:pos="643"/>
        </w:tabs>
        <w:rPr>
          <w:i/>
          <w:sz w:val="22"/>
          <w:szCs w:val="22"/>
          <w:u w:val="single"/>
        </w:rPr>
      </w:pPr>
      <w:r w:rsidRPr="003B2A63">
        <w:rPr>
          <w:b/>
          <w:sz w:val="22"/>
          <w:szCs w:val="22"/>
        </w:rPr>
        <w:t>Inhaltsfeld 1: Der Mensch in christlicher Perspektive</w:t>
      </w:r>
    </w:p>
    <w:p w:rsidR="003B2A63" w:rsidRPr="003B2A63" w:rsidRDefault="003B2A63" w:rsidP="003B2A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rPr>
          <w:bCs/>
          <w:color w:val="000000"/>
          <w:sz w:val="22"/>
          <w:szCs w:val="22"/>
        </w:rPr>
      </w:pPr>
      <w:r w:rsidRPr="003B2A63">
        <w:rPr>
          <w:i/>
          <w:sz w:val="22"/>
          <w:szCs w:val="22"/>
          <w:u w:val="single"/>
        </w:rPr>
        <w:t>Inhaltliche Schwerpunkte:</w:t>
      </w:r>
    </w:p>
    <w:p w:rsidR="003B2A63" w:rsidRPr="003B2A63" w:rsidRDefault="003B2A63" w:rsidP="003B2A63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43"/>
        </w:tabs>
        <w:rPr>
          <w:sz w:val="22"/>
          <w:szCs w:val="22"/>
        </w:rPr>
      </w:pPr>
      <w:r w:rsidRPr="003B2A63">
        <w:rPr>
          <w:bCs/>
          <w:color w:val="000000"/>
          <w:sz w:val="22"/>
          <w:szCs w:val="22"/>
        </w:rPr>
        <w:t xml:space="preserve">Religiosität in der </w:t>
      </w:r>
      <w:proofErr w:type="spellStart"/>
      <w:r w:rsidRPr="003B2A63">
        <w:rPr>
          <w:bCs/>
          <w:color w:val="000000"/>
          <w:sz w:val="22"/>
          <w:szCs w:val="22"/>
        </w:rPr>
        <w:t>pluralen</w:t>
      </w:r>
      <w:proofErr w:type="spellEnd"/>
      <w:r w:rsidRPr="003B2A63">
        <w:rPr>
          <w:bCs/>
          <w:color w:val="000000"/>
          <w:sz w:val="22"/>
          <w:szCs w:val="22"/>
        </w:rPr>
        <w:t xml:space="preserve"> Gesellschaft</w:t>
      </w:r>
    </w:p>
    <w:p w:rsidR="003B2A63" w:rsidRPr="003B2A63" w:rsidRDefault="003B2A63" w:rsidP="003B2A63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43"/>
        </w:tabs>
        <w:rPr>
          <w:sz w:val="22"/>
          <w:szCs w:val="22"/>
        </w:rPr>
      </w:pPr>
      <w:r w:rsidRPr="003B2A63">
        <w:rPr>
          <w:sz w:val="22"/>
          <w:szCs w:val="22"/>
        </w:rPr>
        <w:t>Der Mensch als Geschöpf und Ebenbild Gottes</w:t>
      </w:r>
    </w:p>
    <w:p w:rsidR="003B2A63" w:rsidRPr="003B2A63" w:rsidRDefault="003B2A63" w:rsidP="003B2A63">
      <w:pPr>
        <w:rPr>
          <w:sz w:val="22"/>
          <w:szCs w:val="22"/>
        </w:rPr>
      </w:pPr>
    </w:p>
    <w:p w:rsidR="003B2A63" w:rsidRPr="003B2A63" w:rsidRDefault="003B2A63" w:rsidP="003B2A63">
      <w:pPr>
        <w:rPr>
          <w:b/>
          <w:sz w:val="22"/>
          <w:szCs w:val="22"/>
        </w:rPr>
      </w:pPr>
      <w:bookmarkStart w:id="0" w:name="_GoBack"/>
      <w:bookmarkEnd w:id="0"/>
      <w:r w:rsidRPr="003B2A63">
        <w:rPr>
          <w:b/>
          <w:sz w:val="22"/>
          <w:szCs w:val="22"/>
        </w:rPr>
        <w:t>Sachkompetenz</w:t>
      </w:r>
    </w:p>
    <w:p w:rsidR="003B2A63" w:rsidRPr="003B2A63" w:rsidRDefault="003B2A63" w:rsidP="003B2A63">
      <w:pPr>
        <w:spacing w:before="120" w:after="120"/>
        <w:rPr>
          <w:sz w:val="22"/>
          <w:szCs w:val="22"/>
        </w:rPr>
      </w:pPr>
      <w:r w:rsidRPr="003B2A63">
        <w:rPr>
          <w:sz w:val="22"/>
          <w:szCs w:val="22"/>
        </w:rPr>
        <w:t xml:space="preserve">Die Studierenden </w:t>
      </w:r>
    </w:p>
    <w:p w:rsidR="003B2A63" w:rsidRPr="003B2A63" w:rsidRDefault="003B2A63" w:rsidP="003B2A63">
      <w:pPr>
        <w:numPr>
          <w:ilvl w:val="0"/>
          <w:numId w:val="3"/>
        </w:numPr>
        <w:tabs>
          <w:tab w:val="left" w:pos="643"/>
        </w:tabs>
        <w:rPr>
          <w:bCs/>
          <w:spacing w:val="2"/>
          <w:sz w:val="22"/>
          <w:szCs w:val="22"/>
        </w:rPr>
      </w:pPr>
      <w:r w:rsidRPr="003B2A63">
        <w:rPr>
          <w:sz w:val="22"/>
          <w:szCs w:val="22"/>
        </w:rPr>
        <w:t xml:space="preserve">identifizieren religiöse Spuren und Ausdrucksformen (Symbole, Riten, Mythen, Räume, Zeiten) in der Lebenswelt und deuten sie, </w:t>
      </w:r>
    </w:p>
    <w:p w:rsidR="003B2A63" w:rsidRPr="003B2A63" w:rsidRDefault="003B2A63" w:rsidP="003B2A63">
      <w:pPr>
        <w:numPr>
          <w:ilvl w:val="0"/>
          <w:numId w:val="3"/>
        </w:numPr>
        <w:tabs>
          <w:tab w:val="left" w:pos="643"/>
        </w:tabs>
        <w:rPr>
          <w:sz w:val="22"/>
          <w:szCs w:val="22"/>
        </w:rPr>
      </w:pPr>
      <w:r w:rsidRPr="003B2A63">
        <w:rPr>
          <w:bCs/>
          <w:spacing w:val="2"/>
          <w:sz w:val="22"/>
          <w:szCs w:val="22"/>
        </w:rPr>
        <w:t>deuten eigene religiöse Vorstellungen in der Auseinandersetzung mit Film, Musik, Literatur oder Kunst,</w:t>
      </w:r>
    </w:p>
    <w:p w:rsidR="003B2A63" w:rsidRPr="003B2A63" w:rsidRDefault="003B2A63" w:rsidP="003B2A63">
      <w:pPr>
        <w:numPr>
          <w:ilvl w:val="0"/>
          <w:numId w:val="3"/>
        </w:numPr>
        <w:tabs>
          <w:tab w:val="left" w:pos="643"/>
        </w:tabs>
        <w:rPr>
          <w:sz w:val="22"/>
          <w:szCs w:val="22"/>
        </w:rPr>
      </w:pPr>
      <w:r w:rsidRPr="003B2A63">
        <w:rPr>
          <w:sz w:val="22"/>
          <w:szCs w:val="22"/>
        </w:rPr>
        <w:t>unterscheiden mögliche Bedeutungen von Religion im Leben von Menschen,</w:t>
      </w:r>
    </w:p>
    <w:p w:rsidR="003B2A63" w:rsidRPr="003B2A63" w:rsidRDefault="003B2A63" w:rsidP="003B2A63">
      <w:pPr>
        <w:numPr>
          <w:ilvl w:val="0"/>
          <w:numId w:val="3"/>
        </w:numPr>
        <w:tabs>
          <w:tab w:val="left" w:pos="643"/>
        </w:tabs>
        <w:rPr>
          <w:bCs/>
          <w:sz w:val="22"/>
          <w:szCs w:val="22"/>
        </w:rPr>
      </w:pPr>
      <w:r w:rsidRPr="003B2A63">
        <w:rPr>
          <w:sz w:val="22"/>
          <w:szCs w:val="22"/>
        </w:rPr>
        <w:t>erläutern Charakteristika des biblisch-christlichen Menschenbildes und grenzen es von kontrastierenden Bildern vom Menschen ab.</w:t>
      </w:r>
    </w:p>
    <w:p w:rsidR="003B2A63" w:rsidRPr="003B2A63" w:rsidRDefault="003B2A63" w:rsidP="003B2A63">
      <w:pPr>
        <w:pStyle w:val="Textkrper21"/>
        <w:autoSpaceDE w:val="0"/>
        <w:spacing w:before="0" w:after="0"/>
        <w:rPr>
          <w:b w:val="0"/>
          <w:bCs/>
          <w:szCs w:val="22"/>
        </w:rPr>
      </w:pPr>
    </w:p>
    <w:p w:rsidR="003B2A63" w:rsidRPr="003B2A63" w:rsidRDefault="003B2A63" w:rsidP="003B2A63">
      <w:pPr>
        <w:pStyle w:val="Textkrper21"/>
        <w:autoSpaceDE w:val="0"/>
        <w:spacing w:before="0" w:after="0"/>
        <w:rPr>
          <w:b w:val="0"/>
          <w:bCs/>
          <w:szCs w:val="22"/>
        </w:rPr>
      </w:pPr>
    </w:p>
    <w:p w:rsidR="003B2A63" w:rsidRPr="003B2A63" w:rsidRDefault="003B2A63" w:rsidP="003B2A63">
      <w:pPr>
        <w:rPr>
          <w:b/>
          <w:sz w:val="22"/>
          <w:szCs w:val="22"/>
        </w:rPr>
      </w:pPr>
      <w:r w:rsidRPr="003B2A63">
        <w:rPr>
          <w:b/>
          <w:sz w:val="22"/>
          <w:szCs w:val="22"/>
        </w:rPr>
        <w:t>Urteilskompetenz</w:t>
      </w:r>
    </w:p>
    <w:p w:rsidR="003B2A63" w:rsidRPr="003B2A63" w:rsidRDefault="0087081A" w:rsidP="003B2A63">
      <w:pPr>
        <w:spacing w:before="120" w:after="12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Die Studierenden </w:t>
      </w:r>
    </w:p>
    <w:p w:rsidR="003B2A63" w:rsidRPr="003B2A63" w:rsidRDefault="003B2A63" w:rsidP="003B2A63">
      <w:pPr>
        <w:numPr>
          <w:ilvl w:val="0"/>
          <w:numId w:val="3"/>
        </w:numPr>
        <w:tabs>
          <w:tab w:val="left" w:pos="926"/>
        </w:tabs>
        <w:rPr>
          <w:color w:val="000000"/>
          <w:sz w:val="22"/>
          <w:szCs w:val="22"/>
        </w:rPr>
      </w:pPr>
      <w:r w:rsidRPr="003B2A63">
        <w:rPr>
          <w:color w:val="000000"/>
          <w:sz w:val="22"/>
          <w:szCs w:val="22"/>
        </w:rPr>
        <w:t>bewerten die Thematisierung religiöser Fragen und Aspekte in ihrer Lebenswelt im Hinblick auf Inhalt und Form,</w:t>
      </w:r>
    </w:p>
    <w:p w:rsidR="003B2A63" w:rsidRPr="003B2A63" w:rsidRDefault="003B2A63" w:rsidP="003B2A63">
      <w:pPr>
        <w:numPr>
          <w:ilvl w:val="0"/>
          <w:numId w:val="3"/>
        </w:numPr>
        <w:tabs>
          <w:tab w:val="left" w:pos="643"/>
        </w:tabs>
        <w:rPr>
          <w:bCs/>
          <w:sz w:val="22"/>
          <w:szCs w:val="22"/>
        </w:rPr>
      </w:pPr>
      <w:r w:rsidRPr="003B2A63">
        <w:rPr>
          <w:color w:val="000000"/>
          <w:sz w:val="22"/>
          <w:szCs w:val="22"/>
        </w:rPr>
        <w:t>erörtern Konsequenzen, die sich aus der Vorstellung von der Gottesebenbildlichkeit des Menschen ergeben</w:t>
      </w:r>
      <w:r w:rsidRPr="003B2A63">
        <w:rPr>
          <w:sz w:val="22"/>
          <w:szCs w:val="22"/>
        </w:rPr>
        <w:t xml:space="preserve"> und erörtern den Zusammenhang von Freiheit und Verantwortung</w:t>
      </w:r>
      <w:r w:rsidRPr="003B2A63">
        <w:rPr>
          <w:i/>
          <w:sz w:val="22"/>
          <w:szCs w:val="22"/>
        </w:rPr>
        <w:t>.</w:t>
      </w:r>
    </w:p>
    <w:p w:rsidR="003B2A63" w:rsidRPr="003B2A63" w:rsidRDefault="003B2A63" w:rsidP="003B2A63">
      <w:pPr>
        <w:tabs>
          <w:tab w:val="left" w:pos="643"/>
        </w:tabs>
        <w:ind w:left="360"/>
        <w:rPr>
          <w:i/>
          <w:sz w:val="22"/>
          <w:szCs w:val="22"/>
          <w:u w:val="single"/>
        </w:rPr>
      </w:pPr>
    </w:p>
    <w:p w:rsidR="003B2A63" w:rsidRPr="003B2A63" w:rsidRDefault="003B2A63" w:rsidP="003B2A63">
      <w:pPr>
        <w:tabs>
          <w:tab w:val="left" w:pos="643"/>
        </w:tabs>
        <w:ind w:left="360"/>
        <w:rPr>
          <w:i/>
          <w:sz w:val="22"/>
          <w:szCs w:val="22"/>
          <w:u w:val="single"/>
        </w:rPr>
      </w:pPr>
    </w:p>
    <w:p w:rsidR="003B2A63" w:rsidRPr="003B2A63" w:rsidRDefault="003B2A63" w:rsidP="003B2A63">
      <w:pPr>
        <w:numPr>
          <w:ilvl w:val="0"/>
          <w:numId w:val="1"/>
        </w:numPr>
        <w:tabs>
          <w:tab w:val="left" w:pos="643"/>
        </w:tabs>
        <w:rPr>
          <w:i/>
          <w:sz w:val="22"/>
          <w:szCs w:val="22"/>
          <w:u w:val="single"/>
        </w:rPr>
      </w:pPr>
      <w:r w:rsidRPr="003B2A63">
        <w:rPr>
          <w:b/>
          <w:sz w:val="22"/>
          <w:szCs w:val="22"/>
        </w:rPr>
        <w:t>Inhaltsfeld 2: Christliche Antworten auf die Gottesfrage</w:t>
      </w:r>
    </w:p>
    <w:p w:rsidR="003B2A63" w:rsidRPr="003B2A63" w:rsidRDefault="003B2A63" w:rsidP="003B2A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rPr>
          <w:bCs/>
          <w:color w:val="000000"/>
          <w:sz w:val="22"/>
          <w:szCs w:val="22"/>
        </w:rPr>
      </w:pPr>
      <w:r w:rsidRPr="003B2A63">
        <w:rPr>
          <w:i/>
          <w:sz w:val="22"/>
          <w:szCs w:val="22"/>
          <w:u w:val="single"/>
        </w:rPr>
        <w:t>Inhaltlicher Schwerpunkt:</w:t>
      </w:r>
    </w:p>
    <w:p w:rsidR="003B2A63" w:rsidRPr="003B2A63" w:rsidRDefault="003B2A63" w:rsidP="003B2A63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43"/>
        </w:tabs>
        <w:rPr>
          <w:sz w:val="22"/>
          <w:szCs w:val="22"/>
        </w:rPr>
      </w:pPr>
      <w:r w:rsidRPr="003B2A63">
        <w:rPr>
          <w:bCs/>
          <w:color w:val="000000"/>
          <w:sz w:val="22"/>
          <w:szCs w:val="22"/>
        </w:rPr>
        <w:t>Das Verhältnis von Vernunft und Glaube</w:t>
      </w:r>
    </w:p>
    <w:p w:rsidR="003B2A63" w:rsidRPr="003B2A63" w:rsidRDefault="003B2A63" w:rsidP="003B2A63">
      <w:pPr>
        <w:spacing w:after="120"/>
        <w:rPr>
          <w:sz w:val="22"/>
          <w:szCs w:val="22"/>
        </w:rPr>
      </w:pPr>
    </w:p>
    <w:p w:rsidR="003B2A63" w:rsidRPr="003B2A63" w:rsidRDefault="003B2A63" w:rsidP="003B2A63">
      <w:pPr>
        <w:spacing w:before="120" w:after="120"/>
        <w:rPr>
          <w:b/>
          <w:sz w:val="22"/>
          <w:szCs w:val="22"/>
        </w:rPr>
      </w:pPr>
      <w:r w:rsidRPr="003B2A63">
        <w:rPr>
          <w:b/>
          <w:sz w:val="22"/>
          <w:szCs w:val="22"/>
        </w:rPr>
        <w:t>Sachkompetenz</w:t>
      </w:r>
    </w:p>
    <w:p w:rsidR="003B2A63" w:rsidRPr="003B2A63" w:rsidRDefault="003B2A63" w:rsidP="003B2A63">
      <w:pPr>
        <w:spacing w:before="120" w:after="120"/>
        <w:rPr>
          <w:bCs/>
          <w:sz w:val="22"/>
          <w:szCs w:val="22"/>
        </w:rPr>
      </w:pPr>
      <w:r w:rsidRPr="003B2A63">
        <w:rPr>
          <w:sz w:val="22"/>
          <w:szCs w:val="22"/>
        </w:rPr>
        <w:t xml:space="preserve">Die Studierenden </w:t>
      </w:r>
    </w:p>
    <w:p w:rsidR="003B2A63" w:rsidRPr="003B2A63" w:rsidRDefault="003B2A63" w:rsidP="003B2A63">
      <w:pPr>
        <w:numPr>
          <w:ilvl w:val="0"/>
          <w:numId w:val="3"/>
        </w:numPr>
        <w:tabs>
          <w:tab w:val="left" w:pos="643"/>
        </w:tabs>
        <w:rPr>
          <w:sz w:val="22"/>
          <w:szCs w:val="22"/>
        </w:rPr>
      </w:pPr>
      <w:r w:rsidRPr="003B2A63">
        <w:rPr>
          <w:bCs/>
          <w:sz w:val="22"/>
          <w:szCs w:val="22"/>
        </w:rPr>
        <w:t>bestimmen Glauben und Wissen als unterschiedliche Zugänge zur Wirklichkeit in ihren Möglichkeiten und Grenzen,</w:t>
      </w:r>
    </w:p>
    <w:p w:rsidR="003B2A63" w:rsidRPr="003B2A63" w:rsidRDefault="003B2A63" w:rsidP="003B2A63">
      <w:pPr>
        <w:numPr>
          <w:ilvl w:val="0"/>
          <w:numId w:val="3"/>
        </w:numPr>
        <w:tabs>
          <w:tab w:val="left" w:pos="643"/>
        </w:tabs>
        <w:rPr>
          <w:sz w:val="22"/>
          <w:szCs w:val="22"/>
        </w:rPr>
      </w:pPr>
      <w:r w:rsidRPr="003B2A63">
        <w:rPr>
          <w:sz w:val="22"/>
          <w:szCs w:val="22"/>
        </w:rPr>
        <w:t>erläutern an der Erschließung eines biblischen Beispiels die Arbeitsweise der Theologie,</w:t>
      </w:r>
    </w:p>
    <w:p w:rsidR="003B2A63" w:rsidRPr="003B2A63" w:rsidRDefault="003B2A63" w:rsidP="003B2A63">
      <w:pPr>
        <w:numPr>
          <w:ilvl w:val="0"/>
          <w:numId w:val="3"/>
        </w:numPr>
        <w:tabs>
          <w:tab w:val="left" w:pos="643"/>
        </w:tabs>
        <w:rPr>
          <w:bCs/>
          <w:sz w:val="22"/>
          <w:szCs w:val="22"/>
        </w:rPr>
      </w:pPr>
      <w:r w:rsidRPr="003B2A63">
        <w:rPr>
          <w:sz w:val="22"/>
          <w:szCs w:val="22"/>
        </w:rPr>
        <w:t>erklären an einem biblischen Beispiel den Charakter der Bibel als Glaubenszeugnis.</w:t>
      </w:r>
    </w:p>
    <w:p w:rsidR="003B2A63" w:rsidRPr="003B2A63" w:rsidRDefault="003B2A63" w:rsidP="003B2A63">
      <w:pPr>
        <w:rPr>
          <w:bCs/>
          <w:sz w:val="22"/>
          <w:szCs w:val="22"/>
        </w:rPr>
      </w:pPr>
    </w:p>
    <w:p w:rsidR="003B2A63" w:rsidRPr="003B2A63" w:rsidRDefault="003B2A63" w:rsidP="003B2A63">
      <w:pPr>
        <w:rPr>
          <w:bCs/>
          <w:sz w:val="22"/>
          <w:szCs w:val="22"/>
        </w:rPr>
      </w:pPr>
    </w:p>
    <w:p w:rsidR="003B2A63" w:rsidRPr="003B2A63" w:rsidRDefault="003B2A63" w:rsidP="003B2A63">
      <w:pPr>
        <w:rPr>
          <w:b/>
          <w:sz w:val="22"/>
          <w:szCs w:val="22"/>
        </w:rPr>
      </w:pPr>
      <w:r w:rsidRPr="003B2A63">
        <w:rPr>
          <w:b/>
          <w:sz w:val="22"/>
          <w:szCs w:val="22"/>
        </w:rPr>
        <w:t>Urteilskompetenz</w:t>
      </w:r>
    </w:p>
    <w:p w:rsidR="003B2A63" w:rsidRPr="003B2A63" w:rsidRDefault="003B2A63" w:rsidP="003B2A63">
      <w:pPr>
        <w:spacing w:before="120" w:after="120"/>
        <w:rPr>
          <w:sz w:val="22"/>
          <w:szCs w:val="22"/>
        </w:rPr>
      </w:pPr>
      <w:r w:rsidRPr="003B2A63">
        <w:rPr>
          <w:sz w:val="22"/>
          <w:szCs w:val="22"/>
        </w:rPr>
        <w:t xml:space="preserve">Die Studierenden </w:t>
      </w:r>
    </w:p>
    <w:p w:rsidR="003B2A63" w:rsidRPr="003B2A63" w:rsidRDefault="003B2A63" w:rsidP="003B2A63">
      <w:pPr>
        <w:numPr>
          <w:ilvl w:val="0"/>
          <w:numId w:val="3"/>
        </w:numPr>
        <w:tabs>
          <w:tab w:val="left" w:pos="643"/>
        </w:tabs>
        <w:rPr>
          <w:sz w:val="22"/>
          <w:szCs w:val="22"/>
        </w:rPr>
      </w:pPr>
      <w:r w:rsidRPr="003B2A63">
        <w:rPr>
          <w:sz w:val="22"/>
          <w:szCs w:val="22"/>
        </w:rPr>
        <w:t>erörtern ausgehend von einem historischen oder aktuellen Beispiel das Verhältnis von Glauben und Wissen,</w:t>
      </w:r>
    </w:p>
    <w:p w:rsidR="003B2A63" w:rsidRPr="003B2A63" w:rsidRDefault="003B2A63" w:rsidP="003B2A63">
      <w:pPr>
        <w:numPr>
          <w:ilvl w:val="0"/>
          <w:numId w:val="3"/>
        </w:numPr>
        <w:tabs>
          <w:tab w:val="left" w:pos="643"/>
        </w:tabs>
        <w:rPr>
          <w:sz w:val="22"/>
          <w:szCs w:val="22"/>
        </w:rPr>
      </w:pPr>
      <w:r w:rsidRPr="003B2A63">
        <w:rPr>
          <w:sz w:val="22"/>
          <w:szCs w:val="22"/>
        </w:rPr>
        <w:t xml:space="preserve">erörtern die </w:t>
      </w:r>
      <w:proofErr w:type="spellStart"/>
      <w:r w:rsidRPr="003B2A63">
        <w:rPr>
          <w:sz w:val="22"/>
          <w:szCs w:val="22"/>
        </w:rPr>
        <w:t>Verantwortbarkeit</w:t>
      </w:r>
      <w:proofErr w:type="spellEnd"/>
      <w:r w:rsidRPr="003B2A63">
        <w:rPr>
          <w:sz w:val="22"/>
          <w:szCs w:val="22"/>
        </w:rPr>
        <w:t xml:space="preserve"> des Glaubens vor der Vernunft,</w:t>
      </w:r>
    </w:p>
    <w:p w:rsidR="003B2A63" w:rsidRPr="003B2A63" w:rsidRDefault="003B2A63" w:rsidP="003B2A63">
      <w:pPr>
        <w:numPr>
          <w:ilvl w:val="0"/>
          <w:numId w:val="3"/>
        </w:numPr>
        <w:tabs>
          <w:tab w:val="left" w:pos="643"/>
        </w:tabs>
        <w:rPr>
          <w:bCs/>
          <w:color w:val="000000"/>
          <w:sz w:val="22"/>
          <w:szCs w:val="22"/>
        </w:rPr>
      </w:pPr>
      <w:r w:rsidRPr="003B2A63">
        <w:rPr>
          <w:sz w:val="22"/>
          <w:szCs w:val="22"/>
        </w:rPr>
        <w:t>beurteilen kritisch Positionen fundamentalistischer Strömungen.</w:t>
      </w:r>
    </w:p>
    <w:p w:rsidR="0088387A" w:rsidRPr="003B2A63" w:rsidRDefault="0088387A" w:rsidP="004B237F">
      <w:pPr>
        <w:spacing w:before="360"/>
        <w:jc w:val="left"/>
        <w:rPr>
          <w:sz w:val="22"/>
          <w:szCs w:val="22"/>
        </w:rPr>
      </w:pPr>
    </w:p>
    <w:p w:rsidR="00B87DD2" w:rsidRDefault="00B87DD2"/>
    <w:sectPr w:rsidR="00B87DD2" w:rsidSect="004B237F">
      <w:head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D41" w:rsidRDefault="003D4D41" w:rsidP="0088387A">
      <w:r>
        <w:separator/>
      </w:r>
    </w:p>
  </w:endnote>
  <w:endnote w:type="continuationSeparator" w:id="0">
    <w:p w:rsidR="003D4D41" w:rsidRDefault="003D4D41" w:rsidP="0088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Lib Win95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D41" w:rsidRDefault="003D4D41" w:rsidP="0088387A">
      <w:r>
        <w:separator/>
      </w:r>
    </w:p>
  </w:footnote>
  <w:footnote w:type="continuationSeparator" w:id="0">
    <w:p w:rsidR="003D4D41" w:rsidRDefault="003D4D41" w:rsidP="00883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7A" w:rsidRDefault="004B237F">
    <w:pPr>
      <w:pStyle w:val="Kopfzeile"/>
    </w:pPr>
    <w:r w:rsidRPr="004B237F">
      <w:rPr>
        <w:b/>
      </w:rPr>
      <w:t>M2</w:t>
    </w:r>
    <w:r>
      <w:t xml:space="preserve"> </w:t>
    </w:r>
    <w:r w:rsidR="003B2A63">
      <w:t>–</w:t>
    </w:r>
    <w:r>
      <w:t xml:space="preserve"> </w:t>
    </w:r>
    <w:r w:rsidR="003B2A63">
      <w:t>KLP-</w:t>
    </w:r>
    <w:proofErr w:type="spellStart"/>
    <w:r w:rsidR="003B2A63">
      <w:t>WbK</w:t>
    </w:r>
    <w:proofErr w:type="spellEnd"/>
    <w:r w:rsidR="003B2A63">
      <w:t xml:space="preserve"> Katholische Religionslehre</w:t>
    </w:r>
  </w:p>
  <w:p w:rsidR="0088387A" w:rsidRDefault="0088387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dLib Win95BT"/>
        <w:position w:val="0"/>
        <w:sz w:val="20"/>
        <w:vertAlign w:val="baseline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 2"/>
        <w:color w:val="auto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3">
    <w:nsid w:val="2053474A"/>
    <w:multiLevelType w:val="hybridMultilevel"/>
    <w:tmpl w:val="32A20170"/>
    <w:lvl w:ilvl="0" w:tplc="036A6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B6566"/>
    <w:multiLevelType w:val="hybridMultilevel"/>
    <w:tmpl w:val="9DC8AF1A"/>
    <w:lvl w:ilvl="0" w:tplc="036A6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52C3D"/>
    <w:multiLevelType w:val="hybridMultilevel"/>
    <w:tmpl w:val="CA48AF78"/>
    <w:lvl w:ilvl="0" w:tplc="036A6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42EC8"/>
    <w:multiLevelType w:val="hybridMultilevel"/>
    <w:tmpl w:val="F7CE585C"/>
    <w:lvl w:ilvl="0" w:tplc="036A6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02990"/>
    <w:multiLevelType w:val="hybridMultilevel"/>
    <w:tmpl w:val="85B05182"/>
    <w:lvl w:ilvl="0" w:tplc="036A6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F5EE0"/>
    <w:multiLevelType w:val="hybridMultilevel"/>
    <w:tmpl w:val="04FED7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17337"/>
    <w:multiLevelType w:val="hybridMultilevel"/>
    <w:tmpl w:val="85405574"/>
    <w:lvl w:ilvl="0" w:tplc="036A6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7A"/>
    <w:rsid w:val="003B2A63"/>
    <w:rsid w:val="003D4D41"/>
    <w:rsid w:val="004B237F"/>
    <w:rsid w:val="00661A62"/>
    <w:rsid w:val="0087081A"/>
    <w:rsid w:val="0088387A"/>
    <w:rsid w:val="00B87DD2"/>
    <w:rsid w:val="00BB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387A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uiPriority w:val="99"/>
    <w:rsid w:val="0088387A"/>
    <w:pPr>
      <w:spacing w:before="120" w:after="240"/>
      <w:jc w:val="left"/>
    </w:pPr>
    <w:rPr>
      <w:b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8838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387A"/>
    <w:rPr>
      <w:rFonts w:ascii="Arial" w:eastAsia="Times New Roman" w:hAnsi="Arial" w:cs="Arial"/>
      <w:sz w:val="24"/>
      <w:szCs w:val="20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8838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387A"/>
    <w:rPr>
      <w:rFonts w:ascii="Arial" w:eastAsia="Times New Roman" w:hAnsi="Arial" w:cs="Arial"/>
      <w:sz w:val="24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38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387A"/>
    <w:rPr>
      <w:rFonts w:ascii="Tahoma" w:eastAsia="Times New Roman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661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387A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uiPriority w:val="99"/>
    <w:rsid w:val="0088387A"/>
    <w:pPr>
      <w:spacing w:before="120" w:after="240"/>
      <w:jc w:val="left"/>
    </w:pPr>
    <w:rPr>
      <w:b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8838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387A"/>
    <w:rPr>
      <w:rFonts w:ascii="Arial" w:eastAsia="Times New Roman" w:hAnsi="Arial" w:cs="Arial"/>
      <w:sz w:val="24"/>
      <w:szCs w:val="20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8838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387A"/>
    <w:rPr>
      <w:rFonts w:ascii="Arial" w:eastAsia="Times New Roman" w:hAnsi="Arial" w:cs="Arial"/>
      <w:sz w:val="24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38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387A"/>
    <w:rPr>
      <w:rFonts w:ascii="Tahoma" w:eastAsia="Times New Roman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661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1C6907E7.dotm</Template>
  <TotalTime>0</TotalTime>
  <Pages>1</Pages>
  <Words>234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Hartwig, Cordula</cp:lastModifiedBy>
  <cp:revision>6</cp:revision>
  <dcterms:created xsi:type="dcterms:W3CDTF">2013-11-13T15:06:00Z</dcterms:created>
  <dcterms:modified xsi:type="dcterms:W3CDTF">2014-10-14T09:20:00Z</dcterms:modified>
</cp:coreProperties>
</file>