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4C" w:rsidRDefault="0008614C"/>
    <w:p w:rsidR="00A516E0" w:rsidRPr="007F1FCC" w:rsidRDefault="00A516E0">
      <w:pPr>
        <w:rPr>
          <w:sz w:val="32"/>
          <w:szCs w:val="32"/>
        </w:rPr>
      </w:pPr>
      <w:r w:rsidRPr="007F1FCC">
        <w:rPr>
          <w:sz w:val="32"/>
          <w:szCs w:val="32"/>
        </w:rPr>
        <w:t>Konzeption der Arbeitsgemeinschaft</w:t>
      </w:r>
    </w:p>
    <w:p w:rsidR="00A516E0" w:rsidRDefault="00A516E0"/>
    <w:p w:rsidR="00A516E0" w:rsidRDefault="00A516E0" w:rsidP="0018276A">
      <w:pPr>
        <w:jc w:val="both"/>
      </w:pPr>
      <w:r>
        <w:t>Im SINUS-Projekt werden Materialien gesammelt und zusammengestellt, die für eine Arbeitsgemein</w:t>
      </w:r>
      <w:r w:rsidR="0018276A">
        <w:softHyphen/>
      </w:r>
      <w:r>
        <w:t>schaft, die sich an mathematisch interessierte Schülerinnen und Schüler richtet, benutzt werden können.</w:t>
      </w:r>
      <w:bookmarkStart w:id="0" w:name="_GoBack"/>
      <w:bookmarkEnd w:id="0"/>
    </w:p>
    <w:p w:rsidR="00A516E0" w:rsidRDefault="00A516E0" w:rsidP="0018276A">
      <w:pPr>
        <w:jc w:val="both"/>
      </w:pPr>
    </w:p>
    <w:p w:rsidR="00A516E0" w:rsidRPr="00FF0131" w:rsidRDefault="00A516E0" w:rsidP="0018276A">
      <w:pPr>
        <w:jc w:val="both"/>
      </w:pPr>
      <w:r>
        <w:t xml:space="preserve">Die einzelnen AG-Sitzungen wurden </w:t>
      </w:r>
      <w:r w:rsidRPr="00FF0131">
        <w:t xml:space="preserve">für eine Zeitdauer von 90 Minuten konzipiert. </w:t>
      </w:r>
      <w:r>
        <w:t xml:space="preserve">Jeder Sitzung </w:t>
      </w:r>
      <w:r w:rsidRPr="00FF0131">
        <w:t>liegt eine dreiteilige Struktur</w:t>
      </w:r>
      <w:r>
        <w:t xml:space="preserve"> zugrunde.</w:t>
      </w:r>
      <w:r w:rsidRPr="00FF0131">
        <w:t xml:space="preserve"> </w:t>
      </w:r>
    </w:p>
    <w:p w:rsidR="00A516E0" w:rsidRPr="00FF0131" w:rsidRDefault="00A516E0" w:rsidP="0018276A">
      <w:pPr>
        <w:jc w:val="both"/>
      </w:pPr>
    </w:p>
    <w:p w:rsidR="00A516E0" w:rsidRPr="00FF0131" w:rsidRDefault="00A516E0" w:rsidP="0018276A">
      <w:pPr>
        <w:widowControl w:val="0"/>
        <w:numPr>
          <w:ilvl w:val="0"/>
          <w:numId w:val="1"/>
        </w:numPr>
        <w:autoSpaceDN w:val="0"/>
        <w:jc w:val="both"/>
        <w:textAlignment w:val="baseline"/>
      </w:pPr>
      <w:r w:rsidRPr="00FF0131">
        <w:t>Beginn mit einer kurzen Denk- oder Knobelaufgabe als Warm-Up, etwa 10 Minuten.</w:t>
      </w:r>
    </w:p>
    <w:p w:rsidR="00A516E0" w:rsidRPr="00FF0131" w:rsidRDefault="00A516E0" w:rsidP="0018276A">
      <w:pPr>
        <w:widowControl w:val="0"/>
        <w:numPr>
          <w:ilvl w:val="0"/>
          <w:numId w:val="1"/>
        </w:numPr>
        <w:autoSpaceDN w:val="0"/>
        <w:jc w:val="both"/>
        <w:textAlignment w:val="baseline"/>
      </w:pPr>
      <w:r w:rsidRPr="00FF0131">
        <w:t>Hauptteil zur Bearbeitung des thematischen Schwerpunktes der Sitzung, etwa 60 Minuten.</w:t>
      </w:r>
    </w:p>
    <w:p w:rsidR="00A516E0" w:rsidRPr="00FF0131" w:rsidRDefault="00A516E0" w:rsidP="0018276A">
      <w:pPr>
        <w:widowControl w:val="0"/>
        <w:numPr>
          <w:ilvl w:val="0"/>
          <w:numId w:val="1"/>
        </w:numPr>
        <w:autoSpaceDN w:val="0"/>
        <w:jc w:val="both"/>
        <w:textAlignment w:val="baseline"/>
      </w:pPr>
      <w:r w:rsidRPr="00FF0131">
        <w:t>Ausklang mit mathematischen Spielen, etwa 20 Minuten.</w:t>
      </w:r>
    </w:p>
    <w:p w:rsidR="00A516E0" w:rsidRPr="00FF0131" w:rsidRDefault="00A516E0" w:rsidP="0018276A">
      <w:pPr>
        <w:jc w:val="both"/>
      </w:pPr>
    </w:p>
    <w:p w:rsidR="00A516E0" w:rsidRDefault="00A516E0" w:rsidP="0018276A">
      <w:pPr>
        <w:jc w:val="both"/>
      </w:pPr>
      <w:r w:rsidRPr="00FF0131">
        <w:t>Arbeitsgemeinschaften f</w:t>
      </w:r>
      <w:r>
        <w:t>inden in der Regel außerhalb der</w:t>
      </w:r>
      <w:r w:rsidRPr="00FF0131">
        <w:t xml:space="preserve"> regulär</w:t>
      </w:r>
      <w:r>
        <w:t>en Kernzeit am Nachmittag statt,</w:t>
      </w:r>
      <w:r w:rsidRPr="00FF0131">
        <w:t xml:space="preserve"> </w:t>
      </w:r>
      <w:r>
        <w:t xml:space="preserve">die Schülerinnen und Schüler kommen aus der Mittagspause. </w:t>
      </w:r>
      <w:r w:rsidRPr="00FF0131">
        <w:t xml:space="preserve">Durch das Warm-Up wird ein Startpunkt gesetzt, die </w:t>
      </w:r>
      <w:r>
        <w:t xml:space="preserve">Schülerinnen und </w:t>
      </w:r>
      <w:r w:rsidRPr="00FF0131">
        <w:t xml:space="preserve">Schüler werden auf mathematische Fragestellungen und </w:t>
      </w:r>
      <w:proofErr w:type="spellStart"/>
      <w:r w:rsidRPr="00FF0131">
        <w:t>Denkstruktu</w:t>
      </w:r>
      <w:r w:rsidR="0018276A">
        <w:softHyphen/>
      </w:r>
      <w:r w:rsidRPr="00FF0131">
        <w:t>ren</w:t>
      </w:r>
      <w:proofErr w:type="spellEnd"/>
      <w:r w:rsidRPr="00FF0131">
        <w:t xml:space="preserve"> eingestimmt. Zudem dient es der Gemeinschaftsbildung und Konzentrationsförderung. Die am Ende stattfindende Präsentation und Diskussion der Aufgabenlösung im Plenum leitet in den Haupt</w:t>
      </w:r>
      <w:r w:rsidR="0018276A">
        <w:softHyphen/>
      </w:r>
      <w:r w:rsidRPr="00FF0131">
        <w:t>teil über.</w:t>
      </w:r>
    </w:p>
    <w:p w:rsidR="00A516E0" w:rsidRPr="00FF0131" w:rsidRDefault="00A516E0" w:rsidP="0018276A">
      <w:pPr>
        <w:jc w:val="both"/>
      </w:pPr>
    </w:p>
    <w:p w:rsidR="00A516E0" w:rsidRDefault="00A516E0" w:rsidP="0018276A">
      <w:pPr>
        <w:jc w:val="both"/>
      </w:pPr>
      <w:r w:rsidRPr="00FF0131">
        <w:t>Im Hauptteil bearbeiten die Schüler</w:t>
      </w:r>
      <w:r w:rsidR="007F1FCC">
        <w:t>innen und Schüler</w:t>
      </w:r>
      <w:r w:rsidRPr="00FF0131">
        <w:t xml:space="preserve"> entweder </w:t>
      </w:r>
      <w:r>
        <w:t xml:space="preserve">thematisch zusammengestellte </w:t>
      </w:r>
      <w:r w:rsidRPr="00FF0131">
        <w:t>Wettbewerbsaufgaben der Mathematik-Olympiade oder ein eher praktisch angelegtes Projekt.</w:t>
      </w:r>
    </w:p>
    <w:p w:rsidR="00A516E0" w:rsidRPr="00FF0131" w:rsidRDefault="00A516E0" w:rsidP="0018276A">
      <w:pPr>
        <w:jc w:val="both"/>
      </w:pPr>
    </w:p>
    <w:p w:rsidR="00A516E0" w:rsidRDefault="00A516E0" w:rsidP="0018276A">
      <w:pPr>
        <w:jc w:val="both"/>
      </w:pPr>
      <w:r w:rsidRPr="00FF0131">
        <w:t>Die Wettbewerbsaufgaben wurden aus unterschiedlichen Jahren und Runden zu einzelnen Modulen zusammengestellt. Bei der Auswahl und Anordnung der Aufgaben wurde auf eine Progression im Schwierigkeitsgrad geachtet.</w:t>
      </w:r>
    </w:p>
    <w:p w:rsidR="00A516E0" w:rsidRPr="00FF0131" w:rsidRDefault="00A516E0" w:rsidP="0018276A">
      <w:pPr>
        <w:jc w:val="both"/>
      </w:pPr>
    </w:p>
    <w:p w:rsidR="00A516E0" w:rsidRPr="00FF0131" w:rsidRDefault="00A516E0" w:rsidP="0018276A">
      <w:pPr>
        <w:jc w:val="both"/>
      </w:pPr>
      <w:r w:rsidRPr="00FF0131">
        <w:t xml:space="preserve">Jedes Modul besteht aus dem Schülerarbeitsblatt, </w:t>
      </w:r>
      <w:r w:rsidR="0018276A">
        <w:t xml:space="preserve">gegebenenfalls </w:t>
      </w:r>
      <w:r w:rsidRPr="00FF0131">
        <w:t>Hilfsangeboten zur Erschließung der Aufgaben und dem Material für die Lehrkraft. Das Lehrermaterial enthält neben ausführlichen Lösungen auch Hinweise für den Einsatz, für Aufgabenvariationen, Differenzierung und Vertiefung. Dadurch wird eine individuelle Förderung auf unterschiedlichem Niveau ermöglicht.</w:t>
      </w:r>
    </w:p>
    <w:p w:rsidR="00A516E0" w:rsidRPr="00FF0131" w:rsidRDefault="00A516E0" w:rsidP="0018276A">
      <w:pPr>
        <w:jc w:val="both"/>
      </w:pPr>
    </w:p>
    <w:p w:rsidR="00A516E0" w:rsidRDefault="00A516E0" w:rsidP="0018276A">
      <w:pPr>
        <w:jc w:val="both"/>
      </w:pPr>
      <w:r w:rsidRPr="00FF0131">
        <w:t>Die Projekte bieten</w:t>
      </w:r>
      <w:r>
        <w:t xml:space="preserve"> zum einen</w:t>
      </w:r>
      <w:r w:rsidRPr="00FF0131">
        <w:t xml:space="preserve"> den Schüler</w:t>
      </w:r>
      <w:r w:rsidR="007F1FCC">
        <w:t>inne</w:t>
      </w:r>
      <w:r w:rsidRPr="00FF0131">
        <w:t>n</w:t>
      </w:r>
      <w:r w:rsidR="007F1FCC">
        <w:t xml:space="preserve"> und Schülern</w:t>
      </w:r>
      <w:r w:rsidRPr="00FF0131">
        <w:t xml:space="preserve"> einen weiteren Zugang zu mathemati</w:t>
      </w:r>
      <w:r w:rsidR="0018276A">
        <w:softHyphen/>
      </w:r>
      <w:r w:rsidRPr="00FF0131">
        <w:t xml:space="preserve">schen Fragestellungen an, </w:t>
      </w:r>
      <w:r>
        <w:t xml:space="preserve">zum anderen </w:t>
      </w:r>
      <w:r w:rsidRPr="00FF0131">
        <w:t xml:space="preserve">verdeutlichen sie den Alltagsbezug der </w:t>
      </w:r>
      <w:r>
        <w:t>Mathematik. Außer</w:t>
      </w:r>
      <w:r w:rsidR="0018276A">
        <w:softHyphen/>
      </w:r>
      <w:r>
        <w:t>dem machen sie</w:t>
      </w:r>
      <w:r w:rsidRPr="00FF0131">
        <w:t xml:space="preserve"> die ästhetische Seite von Mathematik erfahrbar. Bei der Konz</w:t>
      </w:r>
      <w:r>
        <w:t>eption</w:t>
      </w:r>
      <w:r w:rsidRPr="00FF0131">
        <w:t xml:space="preserve"> der Projekte wurde auf eine altersgemäße Aufbereitung und Komplexität der zugrundeliegenden Ideen geachtet. Das Lehrermaterial der Projektbeschreibung beginnt </w:t>
      </w:r>
      <w:r>
        <w:t xml:space="preserve">stets </w:t>
      </w:r>
      <w:r w:rsidRPr="00FF0131">
        <w:t>mit einer ausführlichen Einführung in die Them</w:t>
      </w:r>
      <w:r>
        <w:t>atik. Bei Bastel-Projekten liegen</w:t>
      </w:r>
      <w:r w:rsidRPr="00FF0131">
        <w:t xml:space="preserve"> sowohl eine bebilderte Anleitung</w:t>
      </w:r>
      <w:r>
        <w:t xml:space="preserve"> mit einer Auflistung der er</w:t>
      </w:r>
      <w:r w:rsidR="0018276A">
        <w:softHyphen/>
      </w:r>
      <w:r>
        <w:t>forderlichen Materialien</w:t>
      </w:r>
      <w:r w:rsidRPr="00FF0131">
        <w:t xml:space="preserve"> als auch Hilfs</w:t>
      </w:r>
      <w:r>
        <w:t>angebote</w:t>
      </w:r>
      <w:r w:rsidRPr="00FF0131">
        <w:t xml:space="preserve"> vor. Andere Projekte bieten wiederum ausführliche Lösungen und Hinweise für den Einsatz an.</w:t>
      </w:r>
    </w:p>
    <w:p w:rsidR="00A516E0" w:rsidRPr="00FF0131" w:rsidRDefault="00A516E0" w:rsidP="0018276A">
      <w:pPr>
        <w:jc w:val="both"/>
      </w:pPr>
    </w:p>
    <w:p w:rsidR="00A516E0" w:rsidRPr="00FF0131" w:rsidRDefault="00A516E0" w:rsidP="0018276A">
      <w:pPr>
        <w:jc w:val="both"/>
      </w:pPr>
      <w:r w:rsidRPr="00FF0131">
        <w:t>Projekte und Module, die einen Bezug zur Geometrie haben, nutzen die Vorteile dynamischer Geo</w:t>
      </w:r>
      <w:r w:rsidR="0018276A">
        <w:softHyphen/>
      </w:r>
      <w:r w:rsidRPr="00FF0131">
        <w:t>metrie Softwar</w:t>
      </w:r>
      <w:r>
        <w:t xml:space="preserve">e. Die Arbeitsblätter liegen </w:t>
      </w:r>
      <w:r w:rsidRPr="00FF0131">
        <w:t xml:space="preserve">als </w:t>
      </w:r>
      <w:proofErr w:type="spellStart"/>
      <w:r w:rsidRPr="00FF0131">
        <w:t>GeoGebra</w:t>
      </w:r>
      <w:proofErr w:type="spellEnd"/>
      <w:r w:rsidRPr="00FF0131">
        <w:t>-Dateien vor. Die Aufbereitung ist so konzi</w:t>
      </w:r>
      <w:r w:rsidR="0018276A">
        <w:softHyphen/>
      </w:r>
      <w:r w:rsidRPr="00FF0131">
        <w:t xml:space="preserve">piert, dass </w:t>
      </w:r>
      <w:r>
        <w:t xml:space="preserve">in </w:t>
      </w:r>
      <w:r w:rsidRPr="00FF0131">
        <w:t>die Nutzung der Software mit eingeführt wird.</w:t>
      </w:r>
    </w:p>
    <w:p w:rsidR="00A516E0" w:rsidRPr="00FF0131" w:rsidRDefault="00A516E0" w:rsidP="0018276A">
      <w:pPr>
        <w:jc w:val="both"/>
      </w:pPr>
    </w:p>
    <w:p w:rsidR="00A516E0" w:rsidRPr="00FF0131" w:rsidRDefault="00A516E0" w:rsidP="0018276A">
      <w:pPr>
        <w:jc w:val="both"/>
      </w:pPr>
      <w:r w:rsidRPr="00FF0131">
        <w:t>Zum Ausklang werden mathematische Spiele genutzt. Ein solches Spiel bildet gemeinsam mit dem Warm-Up gewissermaßen einen Rahmen für den thematischen Schwerpunkt der Sitzung.</w:t>
      </w:r>
      <w:r>
        <w:t xml:space="preserve"> Spiele bie</w:t>
      </w:r>
      <w:r w:rsidR="0018276A">
        <w:softHyphen/>
      </w:r>
      <w:r>
        <w:t>ten manchmal auch einen Aufhänger für Themen, die zu einem späteren Zeitpunkt in einer AG-Sit</w:t>
      </w:r>
      <w:r w:rsidR="0018276A">
        <w:softHyphen/>
      </w:r>
      <w:r>
        <w:t>zung bearbeitet werden. So führt das Spiel „100 gewinnt“ in die Strategie des Rückwärtsarbeitens ein.</w:t>
      </w:r>
    </w:p>
    <w:p w:rsidR="00A516E0" w:rsidRDefault="00A516E0" w:rsidP="0018276A">
      <w:pPr>
        <w:jc w:val="both"/>
      </w:pPr>
    </w:p>
    <w:p w:rsidR="00A516E0" w:rsidRDefault="00A516E0" w:rsidP="0018276A">
      <w:pPr>
        <w:jc w:val="both"/>
      </w:pPr>
      <w:r w:rsidRPr="00A516E0">
        <w:t xml:space="preserve">Die </w:t>
      </w:r>
      <w:r>
        <w:t xml:space="preserve">Materialien sind zu Musterplänen für die einzelnen Halbjahre zusammengestellt. Die Pläne für die Klassen 5 und 6 orientieren sich an den Terminen der Schuljahre 2013/2014 und 2014/2015 und müssen </w:t>
      </w:r>
      <w:r w:rsidR="007F1FCC">
        <w:t xml:space="preserve">in anderen Jahren </w:t>
      </w:r>
      <w:r>
        <w:t>entsprechend angepasst werden.</w:t>
      </w:r>
    </w:p>
    <w:p w:rsidR="00A516E0" w:rsidRDefault="00A516E0" w:rsidP="0018276A">
      <w:pPr>
        <w:jc w:val="both"/>
      </w:pPr>
    </w:p>
    <w:p w:rsidR="00A516E0" w:rsidRPr="00A516E0" w:rsidRDefault="00A516E0" w:rsidP="0018276A">
      <w:pPr>
        <w:jc w:val="both"/>
      </w:pPr>
      <w:r>
        <w:t>Es ist nicht erforderlich, in der vorgeschlagenen Reihenfolge zu arbeiten. Themen können ausgelas</w:t>
      </w:r>
      <w:r w:rsidR="0018276A">
        <w:softHyphen/>
      </w:r>
      <w:r>
        <w:t>sen oder bei Bedarf um weitere AG-Sitzungen verlängert werden. Wenn die AG nicht wöchentlich oder kürzer als 90 Minuten stattfindet, muss zwangsläufig gekürzt werden</w:t>
      </w:r>
      <w:r w:rsidR="00492FAB">
        <w:t>. Da längere und häufigere AG-Sitzungen wohl nicht vorkommen werden, sollten die Materialien auf jeden Fall ausreichend sein.</w:t>
      </w:r>
      <w:r>
        <w:t xml:space="preserve"> </w:t>
      </w:r>
    </w:p>
    <w:p w:rsidR="00A516E0" w:rsidRPr="00A516E0" w:rsidRDefault="00A516E0"/>
    <w:sectPr w:rsidR="00A516E0" w:rsidRPr="00A516E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FB" w:rsidRDefault="002569FB" w:rsidP="007F1FCC">
      <w:r>
        <w:separator/>
      </w:r>
    </w:p>
  </w:endnote>
  <w:endnote w:type="continuationSeparator" w:id="0">
    <w:p w:rsidR="002569FB" w:rsidRDefault="002569FB" w:rsidP="007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7F1FCC" w:rsidP="007F1FCC">
    <w:pPr>
      <w:pStyle w:val="Kopfzeile"/>
    </w:pPr>
    <w:r w:rsidRPr="005627AC">
      <w:t>__________________________________________________________________________________</w:t>
    </w:r>
  </w:p>
  <w:p w:rsidR="007F1FCC" w:rsidRPr="00811C4C" w:rsidRDefault="007F1FCC" w:rsidP="007F1FCC">
    <w:pPr>
      <w:pStyle w:val="Fuzeile"/>
      <w:rPr>
        <w:sz w:val="21"/>
        <w:szCs w:val="21"/>
      </w:rPr>
    </w:pPr>
    <w:r w:rsidRPr="00811C4C">
      <w:rPr>
        <w:sz w:val="21"/>
        <w:szCs w:val="21"/>
      </w:rPr>
      <w:t xml:space="preserve">Arbeitsgruppe </w:t>
    </w:r>
    <w:proofErr w:type="spellStart"/>
    <w:r w:rsidRPr="00811C4C">
      <w:rPr>
        <w:sz w:val="21"/>
        <w:szCs w:val="21"/>
      </w:rPr>
      <w:t>MAfiSuS</w:t>
    </w:r>
    <w:proofErr w:type="spellEnd"/>
    <w:r w:rsidRPr="00811C4C">
      <w:rPr>
        <w:sz w:val="21"/>
        <w:szCs w:val="21"/>
      </w:rPr>
      <w:t xml:space="preserve">. Michael </w:t>
    </w:r>
    <w:proofErr w:type="spellStart"/>
    <w:r w:rsidRPr="00811C4C">
      <w:rPr>
        <w:sz w:val="21"/>
        <w:szCs w:val="21"/>
      </w:rPr>
      <w:t>Rüsing</w:t>
    </w:r>
    <w:proofErr w:type="spellEnd"/>
    <w:r w:rsidRPr="00811C4C">
      <w:rPr>
        <w:sz w:val="21"/>
        <w:szCs w:val="21"/>
      </w:rPr>
      <w:t xml:space="preserve"> (Essen), Andrea </w:t>
    </w:r>
    <w:proofErr w:type="spellStart"/>
    <w:r w:rsidRPr="00811C4C">
      <w:rPr>
        <w:sz w:val="21"/>
        <w:szCs w:val="21"/>
      </w:rPr>
      <w:t>Frie</w:t>
    </w:r>
    <w:proofErr w:type="spellEnd"/>
    <w:r w:rsidRPr="00811C4C">
      <w:rPr>
        <w:sz w:val="21"/>
        <w:szCs w:val="21"/>
      </w:rPr>
      <w:t xml:space="preserve"> (Duisburg), Thomas </w:t>
    </w:r>
    <w:proofErr w:type="spellStart"/>
    <w:r w:rsidRPr="00811C4C">
      <w:rPr>
        <w:sz w:val="21"/>
        <w:szCs w:val="21"/>
      </w:rPr>
      <w:t>Giebisch</w:t>
    </w:r>
    <w:proofErr w:type="spellEnd"/>
    <w:r w:rsidRPr="00811C4C">
      <w:rPr>
        <w:sz w:val="21"/>
        <w:szCs w:val="21"/>
      </w:rPr>
      <w:t xml:space="preserve"> (Remscheid), Gaby </w:t>
    </w:r>
    <w:proofErr w:type="spellStart"/>
    <w:r w:rsidRPr="00811C4C">
      <w:rPr>
        <w:sz w:val="21"/>
        <w:szCs w:val="21"/>
      </w:rPr>
      <w:t>Heintz</w:t>
    </w:r>
    <w:proofErr w:type="spellEnd"/>
    <w:r w:rsidRPr="00811C4C">
      <w:rPr>
        <w:sz w:val="21"/>
        <w:szCs w:val="21"/>
      </w:rPr>
      <w:t xml:space="preserve"> (Neuss), Steffen </w:t>
    </w:r>
    <w:proofErr w:type="spellStart"/>
    <w:r w:rsidRPr="00811C4C">
      <w:rPr>
        <w:sz w:val="21"/>
        <w:szCs w:val="21"/>
      </w:rPr>
      <w:t>Heyroth</w:t>
    </w:r>
    <w:proofErr w:type="spellEnd"/>
    <w:r w:rsidRPr="00811C4C">
      <w:rPr>
        <w:sz w:val="21"/>
        <w:szCs w:val="21"/>
      </w:rPr>
      <w:t xml:space="preserve"> (Essen), Matthias Lippert (Remscheid), Frederi</w:t>
    </w:r>
    <w:r>
      <w:rPr>
        <w:sz w:val="21"/>
        <w:szCs w:val="21"/>
      </w:rPr>
      <w:t>c</w:t>
    </w:r>
    <w:r w:rsidRPr="00811C4C">
      <w:rPr>
        <w:sz w:val="21"/>
        <w:szCs w:val="21"/>
      </w:rPr>
      <w:t xml:space="preserve">k </w:t>
    </w:r>
    <w:proofErr w:type="spellStart"/>
    <w:r w:rsidRPr="00811C4C">
      <w:rPr>
        <w:sz w:val="21"/>
        <w:szCs w:val="21"/>
      </w:rPr>
      <w:t>Magata</w:t>
    </w:r>
    <w:proofErr w:type="spellEnd"/>
    <w:r w:rsidRPr="00811C4C">
      <w:rPr>
        <w:sz w:val="21"/>
        <w:szCs w:val="21"/>
      </w:rPr>
      <w:t xml:space="preserve"> (Düsseldorf), Stefan </w:t>
    </w:r>
    <w:proofErr w:type="spellStart"/>
    <w:r w:rsidRPr="00811C4C">
      <w:rPr>
        <w:sz w:val="21"/>
        <w:szCs w:val="21"/>
      </w:rPr>
      <w:t>Möllenberg</w:t>
    </w:r>
    <w:proofErr w:type="spellEnd"/>
    <w:r w:rsidRPr="00811C4C">
      <w:rPr>
        <w:sz w:val="21"/>
        <w:szCs w:val="21"/>
      </w:rPr>
      <w:t xml:space="preserve"> (Düsseldorf), </w:t>
    </w:r>
    <w:r>
      <w:rPr>
        <w:sz w:val="21"/>
        <w:szCs w:val="21"/>
      </w:rPr>
      <w:t xml:space="preserve">Holger </w:t>
    </w:r>
    <w:proofErr w:type="spellStart"/>
    <w:r>
      <w:rPr>
        <w:sz w:val="21"/>
        <w:szCs w:val="21"/>
      </w:rPr>
      <w:t>Reeker</w:t>
    </w:r>
    <w:proofErr w:type="spellEnd"/>
    <w:r>
      <w:rPr>
        <w:sz w:val="21"/>
        <w:szCs w:val="21"/>
      </w:rPr>
      <w:t xml:space="preserve"> (Dortmund), </w:t>
    </w:r>
    <w:r w:rsidRPr="00811C4C">
      <w:rPr>
        <w:sz w:val="21"/>
        <w:szCs w:val="21"/>
      </w:rPr>
      <w:t xml:space="preserve">Burkhard </w:t>
    </w:r>
    <w:proofErr w:type="spellStart"/>
    <w:r w:rsidRPr="00811C4C">
      <w:rPr>
        <w:sz w:val="21"/>
        <w:szCs w:val="21"/>
      </w:rPr>
      <w:t>Rüsing</w:t>
    </w:r>
    <w:proofErr w:type="spellEnd"/>
    <w:r w:rsidRPr="00811C4C">
      <w:rPr>
        <w:sz w:val="21"/>
        <w:szCs w:val="21"/>
      </w:rPr>
      <w:t xml:space="preserve"> (Goch), Ellen Voigt (Wuppertal)</w:t>
    </w:r>
  </w:p>
  <w:p w:rsidR="007F1FCC" w:rsidRDefault="007F1FCC" w:rsidP="007F1FCC">
    <w:pPr>
      <w:pStyle w:val="Fuzeile"/>
      <w:jc w:val="center"/>
    </w:pPr>
    <w:r>
      <w:t xml:space="preserve">Seite </w:t>
    </w:r>
    <w:r>
      <w:rPr>
        <w:b/>
      </w:rPr>
      <w:fldChar w:fldCharType="begin"/>
    </w:r>
    <w:r>
      <w:rPr>
        <w:b/>
      </w:rPr>
      <w:instrText>PAGE  \* Arabic  \* MERGEFORMAT</w:instrText>
    </w:r>
    <w:r>
      <w:rPr>
        <w:b/>
      </w:rPr>
      <w:fldChar w:fldCharType="separate"/>
    </w:r>
    <w:r w:rsidR="0018276A">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18276A">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FB" w:rsidRDefault="002569FB" w:rsidP="007F1FCC">
      <w:r>
        <w:separator/>
      </w:r>
    </w:p>
  </w:footnote>
  <w:footnote w:type="continuationSeparator" w:id="0">
    <w:p w:rsidR="002569FB" w:rsidRDefault="002569FB" w:rsidP="007F1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CC" w:rsidRDefault="007F1FCC" w:rsidP="007F1FCC">
    <w:r w:rsidRPr="00336AA9">
      <w:rPr>
        <w:noProof/>
        <w:lang w:eastAsia="de-DE"/>
      </w:rPr>
      <w:drawing>
        <wp:anchor distT="0" distB="0" distL="114300" distR="114300" simplePos="0" relativeHeight="251660288" behindDoc="0" locked="0" layoutInCell="1" allowOverlap="1" wp14:anchorId="7D172671" wp14:editId="7C2AC80A">
          <wp:simplePos x="0" y="0"/>
          <wp:positionH relativeFrom="column">
            <wp:posOffset>-366395</wp:posOffset>
          </wp:positionH>
          <wp:positionV relativeFrom="paragraph">
            <wp:posOffset>-3810</wp:posOffset>
          </wp:positionV>
          <wp:extent cx="702310" cy="771525"/>
          <wp:effectExtent l="0" t="0" r="254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V_MW_he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310" cy="771525"/>
                  </a:xfrm>
                  <a:prstGeom prst="rect">
                    <a:avLst/>
                  </a:prstGeom>
                </pic:spPr>
              </pic:pic>
            </a:graphicData>
          </a:graphic>
          <wp14:sizeRelH relativeFrom="page">
            <wp14:pctWidth>0</wp14:pctWidth>
          </wp14:sizeRelH>
          <wp14:sizeRelV relativeFrom="page">
            <wp14:pctHeight>0</wp14:pctHeight>
          </wp14:sizeRelV>
        </wp:anchor>
      </w:drawing>
    </w:r>
  </w:p>
  <w:p w:rsidR="007F1FCC" w:rsidRDefault="007F1FCC" w:rsidP="007F1FCC"/>
  <w:p w:rsidR="007F1FCC" w:rsidRPr="00336AA9" w:rsidRDefault="007F1FCC" w:rsidP="007F1FCC">
    <w:pPr>
      <w:pStyle w:val="Kopfzeile"/>
    </w:pPr>
    <w:r w:rsidRPr="00336AA9">
      <w:rPr>
        <w:noProof/>
        <w:lang w:eastAsia="de-DE"/>
      </w:rPr>
      <w:drawing>
        <wp:anchor distT="0" distB="0" distL="114300" distR="114300" simplePos="0" relativeHeight="251659264" behindDoc="0" locked="0" layoutInCell="1" allowOverlap="1" wp14:anchorId="104925BE" wp14:editId="6139921C">
          <wp:simplePos x="0" y="0"/>
          <wp:positionH relativeFrom="column">
            <wp:posOffset>4796155</wp:posOffset>
          </wp:positionH>
          <wp:positionV relativeFrom="paragraph">
            <wp:posOffset>-45720</wp:posOffset>
          </wp:positionV>
          <wp:extent cx="1000760" cy="474980"/>
          <wp:effectExtent l="0" t="0" r="8890" b="1270"/>
          <wp:wrapSquare wrapText="bothSides"/>
          <wp:docPr id="2" name="Bild 2" descr="http://www.standardsicherung.schulministerium.nrw.de/sinus/upload/css_img/SinusLogo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ndardsicherung.schulministerium.nrw.de/sinus/upload/css_img/SinusLogo5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6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AA9">
      <w:t xml:space="preserve">                                                               Sinus-</w:t>
    </w:r>
    <w:proofErr w:type="spellStart"/>
    <w:r w:rsidRPr="00336AA9">
      <w:t>MAfiSuS</w:t>
    </w:r>
    <w:proofErr w:type="spellEnd"/>
  </w:p>
  <w:p w:rsidR="007F1FCC" w:rsidRPr="00336AA9" w:rsidRDefault="007F1FCC" w:rsidP="007F1FCC">
    <w:pPr>
      <w:tabs>
        <w:tab w:val="center" w:pos="4536"/>
        <w:tab w:val="right" w:pos="9072"/>
      </w:tabs>
    </w:pPr>
    <w:r w:rsidRPr="00336AA9">
      <w:rPr>
        <w:b/>
      </w:rPr>
      <w:t xml:space="preserve">                    M</w:t>
    </w:r>
    <w:r w:rsidRPr="00336AA9">
      <w:t xml:space="preserve">athematische </w:t>
    </w:r>
    <w:r w:rsidRPr="00336AA9">
      <w:rPr>
        <w:b/>
      </w:rPr>
      <w:t>A</w:t>
    </w:r>
    <w:r w:rsidRPr="00336AA9">
      <w:t xml:space="preserve">ngebote </w:t>
    </w:r>
    <w:r w:rsidRPr="00336AA9">
      <w:rPr>
        <w:b/>
      </w:rPr>
      <w:t>f</w:t>
    </w:r>
    <w:r w:rsidRPr="00336AA9">
      <w:t xml:space="preserve">ür </w:t>
    </w:r>
    <w:r w:rsidRPr="00336AA9">
      <w:rPr>
        <w:b/>
      </w:rPr>
      <w:t>i</w:t>
    </w:r>
    <w:r w:rsidRPr="00336AA9">
      <w:t xml:space="preserve">nteressierte </w:t>
    </w:r>
    <w:r w:rsidRPr="00336AA9">
      <w:rPr>
        <w:b/>
      </w:rPr>
      <w:t>S</w:t>
    </w:r>
    <w:r w:rsidRPr="00336AA9">
      <w:t xml:space="preserve">chülerinnen </w:t>
    </w:r>
    <w:r w:rsidRPr="00336AA9">
      <w:rPr>
        <w:b/>
      </w:rPr>
      <w:t>u</w:t>
    </w:r>
    <w:r w:rsidRPr="00336AA9">
      <w:t xml:space="preserve">nd </w:t>
    </w:r>
    <w:r w:rsidRPr="00336AA9">
      <w:rPr>
        <w:b/>
      </w:rPr>
      <w:t>S</w:t>
    </w:r>
    <w:r w:rsidRPr="00336AA9">
      <w:t>chüler</w:t>
    </w:r>
  </w:p>
  <w:p w:rsidR="007F1FCC" w:rsidRPr="00336AA9" w:rsidRDefault="007F1FCC" w:rsidP="007F1FCC">
    <w:pPr>
      <w:tabs>
        <w:tab w:val="center" w:pos="4536"/>
        <w:tab w:val="right" w:pos="9072"/>
      </w:tabs>
    </w:pPr>
  </w:p>
  <w:p w:rsidR="007F1FCC" w:rsidRDefault="007F1FCC" w:rsidP="007F1FCC">
    <w:pPr>
      <w:tabs>
        <w:tab w:val="center" w:pos="4536"/>
        <w:tab w:val="right" w:pos="9072"/>
      </w:tabs>
    </w:pPr>
    <w:r w:rsidRPr="00336AA9">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8AA"/>
    <w:multiLevelType w:val="multilevel"/>
    <w:tmpl w:val="167E43E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D7D0DA9"/>
    <w:multiLevelType w:val="multilevel"/>
    <w:tmpl w:val="5F72F65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46F7B04"/>
    <w:multiLevelType w:val="multilevel"/>
    <w:tmpl w:val="231403E4"/>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4BC50268"/>
    <w:multiLevelType w:val="hybridMultilevel"/>
    <w:tmpl w:val="235CE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E0"/>
    <w:rsid w:val="0008614C"/>
    <w:rsid w:val="0018276A"/>
    <w:rsid w:val="002569FB"/>
    <w:rsid w:val="00385A73"/>
    <w:rsid w:val="00492FAB"/>
    <w:rsid w:val="007C7CBC"/>
    <w:rsid w:val="007F1FCC"/>
    <w:rsid w:val="00A13471"/>
    <w:rsid w:val="00A51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16E0"/>
    <w:pPr>
      <w:widowControl w:val="0"/>
      <w:suppressAutoHyphens/>
      <w:autoSpaceDN w:val="0"/>
      <w:ind w:left="720"/>
      <w:contextualSpacing/>
      <w:textAlignment w:val="baseline"/>
    </w:pPr>
    <w:rPr>
      <w:rFonts w:ascii="Liberation Serif" w:eastAsia="SimSun" w:hAnsi="Liberation Serif" w:cs="Mangal"/>
      <w:kern w:val="3"/>
      <w:sz w:val="24"/>
      <w:szCs w:val="21"/>
      <w:lang w:eastAsia="zh-CN" w:bidi="hi-IN"/>
    </w:rPr>
  </w:style>
  <w:style w:type="paragraph" w:styleId="Kopfzeile">
    <w:name w:val="header"/>
    <w:basedOn w:val="Standard"/>
    <w:link w:val="KopfzeileZchn"/>
    <w:uiPriority w:val="99"/>
    <w:unhideWhenUsed/>
    <w:rsid w:val="007F1FCC"/>
    <w:pPr>
      <w:tabs>
        <w:tab w:val="center" w:pos="4536"/>
        <w:tab w:val="right" w:pos="9072"/>
      </w:tabs>
    </w:pPr>
  </w:style>
  <w:style w:type="character" w:customStyle="1" w:styleId="KopfzeileZchn">
    <w:name w:val="Kopfzeile Zchn"/>
    <w:basedOn w:val="Absatz-Standardschriftart"/>
    <w:link w:val="Kopfzeile"/>
    <w:uiPriority w:val="99"/>
    <w:rsid w:val="007F1FCC"/>
  </w:style>
  <w:style w:type="paragraph" w:styleId="Fuzeile">
    <w:name w:val="footer"/>
    <w:basedOn w:val="Standard"/>
    <w:link w:val="FuzeileZchn"/>
    <w:uiPriority w:val="99"/>
    <w:unhideWhenUsed/>
    <w:rsid w:val="007F1FCC"/>
    <w:pPr>
      <w:tabs>
        <w:tab w:val="center" w:pos="4536"/>
        <w:tab w:val="right" w:pos="9072"/>
      </w:tabs>
    </w:pPr>
  </w:style>
  <w:style w:type="character" w:customStyle="1" w:styleId="FuzeileZchn">
    <w:name w:val="Fußzeile Zchn"/>
    <w:basedOn w:val="Absatz-Standardschriftart"/>
    <w:link w:val="Fuzeile"/>
    <w:uiPriority w:val="99"/>
    <w:rsid w:val="007F1FCC"/>
  </w:style>
  <w:style w:type="paragraph" w:styleId="Sprechblasentext">
    <w:name w:val="Balloon Text"/>
    <w:basedOn w:val="Standard"/>
    <w:link w:val="SprechblasentextZchn"/>
    <w:uiPriority w:val="99"/>
    <w:semiHidden/>
    <w:unhideWhenUsed/>
    <w:rsid w:val="007F1F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1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16E0"/>
    <w:pPr>
      <w:widowControl w:val="0"/>
      <w:suppressAutoHyphens/>
      <w:autoSpaceDN w:val="0"/>
      <w:ind w:left="720"/>
      <w:contextualSpacing/>
      <w:textAlignment w:val="baseline"/>
    </w:pPr>
    <w:rPr>
      <w:rFonts w:ascii="Liberation Serif" w:eastAsia="SimSun" w:hAnsi="Liberation Serif" w:cs="Mangal"/>
      <w:kern w:val="3"/>
      <w:sz w:val="24"/>
      <w:szCs w:val="21"/>
      <w:lang w:eastAsia="zh-CN" w:bidi="hi-IN"/>
    </w:rPr>
  </w:style>
  <w:style w:type="paragraph" w:styleId="Kopfzeile">
    <w:name w:val="header"/>
    <w:basedOn w:val="Standard"/>
    <w:link w:val="KopfzeileZchn"/>
    <w:uiPriority w:val="99"/>
    <w:unhideWhenUsed/>
    <w:rsid w:val="007F1FCC"/>
    <w:pPr>
      <w:tabs>
        <w:tab w:val="center" w:pos="4536"/>
        <w:tab w:val="right" w:pos="9072"/>
      </w:tabs>
    </w:pPr>
  </w:style>
  <w:style w:type="character" w:customStyle="1" w:styleId="KopfzeileZchn">
    <w:name w:val="Kopfzeile Zchn"/>
    <w:basedOn w:val="Absatz-Standardschriftart"/>
    <w:link w:val="Kopfzeile"/>
    <w:uiPriority w:val="99"/>
    <w:rsid w:val="007F1FCC"/>
  </w:style>
  <w:style w:type="paragraph" w:styleId="Fuzeile">
    <w:name w:val="footer"/>
    <w:basedOn w:val="Standard"/>
    <w:link w:val="FuzeileZchn"/>
    <w:uiPriority w:val="99"/>
    <w:unhideWhenUsed/>
    <w:rsid w:val="007F1FCC"/>
    <w:pPr>
      <w:tabs>
        <w:tab w:val="center" w:pos="4536"/>
        <w:tab w:val="right" w:pos="9072"/>
      </w:tabs>
    </w:pPr>
  </w:style>
  <w:style w:type="character" w:customStyle="1" w:styleId="FuzeileZchn">
    <w:name w:val="Fußzeile Zchn"/>
    <w:basedOn w:val="Absatz-Standardschriftart"/>
    <w:link w:val="Fuzeile"/>
    <w:uiPriority w:val="99"/>
    <w:rsid w:val="007F1FCC"/>
  </w:style>
  <w:style w:type="paragraph" w:styleId="Sprechblasentext">
    <w:name w:val="Balloon Text"/>
    <w:basedOn w:val="Standard"/>
    <w:link w:val="SprechblasentextZchn"/>
    <w:uiPriority w:val="99"/>
    <w:semiHidden/>
    <w:unhideWhenUsed/>
    <w:rsid w:val="007F1F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1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Rüsing</dc:creator>
  <cp:lastModifiedBy>Rüsing</cp:lastModifiedBy>
  <cp:revision>5</cp:revision>
  <cp:lastPrinted>2015-05-31T10:36:00Z</cp:lastPrinted>
  <dcterms:created xsi:type="dcterms:W3CDTF">2015-05-14T17:41:00Z</dcterms:created>
  <dcterms:modified xsi:type="dcterms:W3CDTF">2015-06-03T16:04:00Z</dcterms:modified>
</cp:coreProperties>
</file>