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2FC" w:rsidRDefault="002742FC">
      <w:bookmarkStart w:id="0" w:name="_GoBack"/>
      <w:bookmarkEnd w:id="0"/>
    </w:p>
    <w:p w:rsidR="002742FC" w:rsidRDefault="002742FC">
      <w:r>
        <w:t>Das Material kann zur Erprobung  benutzt werden</w:t>
      </w:r>
    </w:p>
    <w:p w:rsidR="002742FC" w:rsidRDefault="002742FC"/>
    <w:p w:rsidR="002742FC" w:rsidRDefault="002742FC">
      <w:r>
        <w:t>Ziel : Diagnose Aufgaben im Chemieunterricht</w:t>
      </w:r>
    </w:p>
    <w:p w:rsidR="002742FC" w:rsidRDefault="002742FC">
      <w:r>
        <w:t>Hier eine experimentelle Diagnose Aufgabe</w:t>
      </w:r>
    </w:p>
    <w:p w:rsidR="00600040" w:rsidRDefault="002742FC">
      <w:r>
        <w:t>Gerade in Fächern wie der Chemie, die auf den kontinuierlichen Aufbau verfügbaren Wissens angewiesen sind, ist es sinnvoll, wenn Schülerinnen und Schüler Gelegenheiten haben, ihren eigenen Leistungsstand zu erkennen, und wenn die Unterrichtenden erfahren, mit welchem Vorwissen sie tatsächlich rechnen können</w:t>
      </w:r>
    </w:p>
    <w:p w:rsidR="002742FC" w:rsidRDefault="002742FC"/>
    <w:p w:rsidR="002742FC" w:rsidRDefault="002742FC" w:rsidP="002742FC">
      <w:pPr>
        <w:rPr>
          <w:b/>
          <w:sz w:val="28"/>
          <w:szCs w:val="28"/>
        </w:rPr>
      </w:pPr>
      <w:r w:rsidRPr="004D2319">
        <w:rPr>
          <w:b/>
          <w:sz w:val="28"/>
          <w:szCs w:val="28"/>
        </w:rPr>
        <w:t xml:space="preserve"> Oxidation und Reduktion (Inhaltsfeld Metalle und Metallgewinnung)</w:t>
      </w:r>
    </w:p>
    <w:p w:rsidR="002742FC" w:rsidRPr="004D2319" w:rsidRDefault="002742FC" w:rsidP="002742FC">
      <w:pPr>
        <w:rPr>
          <w:b/>
          <w:sz w:val="28"/>
          <w:szCs w:val="28"/>
        </w:rPr>
      </w:pPr>
    </w:p>
    <w:p w:rsidR="002742FC" w:rsidRDefault="002742FC" w:rsidP="002742FC">
      <w:r w:rsidRPr="00F803F3">
        <w:t xml:space="preserve">Das Verständnis von Reaktionsabläufen ist von fundamentaler Bedeutung für das Fach Chemie. Dazu gehören insbesondere Vorgänge, bei denen Oxidation und Reduktion ablaufen. Die Einführung eines erweiterten </w:t>
      </w:r>
      <w:proofErr w:type="spellStart"/>
      <w:r w:rsidRPr="00F803F3">
        <w:t>Redoxbegriffs</w:t>
      </w:r>
      <w:proofErr w:type="spellEnd"/>
      <w:r>
        <w:t xml:space="preserve"> </w:t>
      </w:r>
      <w:r w:rsidRPr="00F803F3">
        <w:t>ist eines der zentralen Themen d</w:t>
      </w:r>
      <w:r>
        <w:t>ies</w:t>
      </w:r>
      <w:r w:rsidRPr="00F803F3">
        <w:t xml:space="preserve">es Inhaltsfeldes. </w:t>
      </w:r>
    </w:p>
    <w:p w:rsidR="002742FC" w:rsidRPr="00F803F3" w:rsidRDefault="002742FC" w:rsidP="002742FC">
      <w:r>
        <w:t>Allerdings benötigen die Schülerinnen und Schüler Vorwissen, u</w:t>
      </w:r>
      <w:r w:rsidRPr="00F803F3">
        <w:t>m die dazugehörigen Kompetenzen erwerben zu können</w:t>
      </w:r>
      <w:r>
        <w:t xml:space="preserve">. Konkret gesagt: Sie </w:t>
      </w:r>
      <w:r w:rsidRPr="00F803F3">
        <w:t>müssen sowohl auf konzeptbezogene als auch auf prozessbezogene Kompetenzen aus den Inhaltsfeldern 2 (Stoffe und Stoffveränderungen) und 3 (Luft und Wasser) zurückgreifen können.</w:t>
      </w:r>
    </w:p>
    <w:p w:rsidR="002742FC" w:rsidRDefault="002742FC" w:rsidP="002742FC">
      <w:r>
        <w:t xml:space="preserve">Um das zu unterstützen, werden zu Beginn der Arbeit diese </w:t>
      </w:r>
      <w:r w:rsidRPr="00F803F3">
        <w:t xml:space="preserve">Kompetenzen (zu den Basiskonzepten: Chemische Reaktion/Energie) in einer Diagnoseaufgabe „Blondierungsmittel“ (Zersetzung von Braunstein mit Wasserstoffperoxid) </w:t>
      </w:r>
      <w:r>
        <w:t xml:space="preserve">experimentell </w:t>
      </w:r>
      <w:r w:rsidRPr="00F803F3">
        <w:t>aufgegriffen und somit den Schülerinnen und Schülern wieder präsent.</w:t>
      </w:r>
      <w:r w:rsidRPr="00F803F3">
        <w:br/>
        <w:t xml:space="preserve">Anschließend wird aufgezeigt, wie der erweiterte </w:t>
      </w:r>
      <w:proofErr w:type="spellStart"/>
      <w:r w:rsidRPr="00F803F3">
        <w:t>Redoxbegriff</w:t>
      </w:r>
      <w:proofErr w:type="spellEnd"/>
      <w:r w:rsidRPr="00F803F3">
        <w:t xml:space="preserve"> (Sauerstofffavorit/ „Spannungsreihe“) experimentell erarbeitet werden kann. </w:t>
      </w:r>
      <w:r w:rsidRPr="00F803F3">
        <w:br/>
      </w:r>
    </w:p>
    <w:p w:rsidR="002742FC" w:rsidRDefault="002742FC" w:rsidP="002742FC"/>
    <w:p w:rsidR="002742FC" w:rsidRPr="00170BA8" w:rsidRDefault="002742FC" w:rsidP="002742FC">
      <w:r w:rsidRPr="00170BA8">
        <w:t xml:space="preserve">An die Diagnoseaufgabe „Blondierungsmittel“ schließt sich das Inhaltfeld </w:t>
      </w:r>
      <w:r>
        <w:t xml:space="preserve">4 an. Hier wäre es denkbar, die </w:t>
      </w:r>
      <w:r w:rsidRPr="00170BA8">
        <w:t xml:space="preserve">Reihe mit dem „Kupferbrief“ zu beginnen und dann über die gebrauchten Kupfermünzen zur </w:t>
      </w:r>
      <w:proofErr w:type="spellStart"/>
      <w:r w:rsidRPr="00170BA8">
        <w:t>Redoxreihe</w:t>
      </w:r>
      <w:proofErr w:type="spellEnd"/>
      <w:r w:rsidRPr="00170BA8">
        <w:t xml:space="preserve"> der Metalle zu kommen.</w:t>
      </w:r>
    </w:p>
    <w:p w:rsidR="002742FC" w:rsidRPr="00170BA8" w:rsidRDefault="002742FC" w:rsidP="002742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6754"/>
      </w:tblGrid>
      <w:tr w:rsidR="002742FC" w:rsidRPr="00170BA8" w:rsidTr="00693325">
        <w:tc>
          <w:tcPr>
            <w:tcW w:w="2376" w:type="dxa"/>
            <w:shd w:val="clear" w:color="auto" w:fill="auto"/>
          </w:tcPr>
          <w:p w:rsidR="002742FC" w:rsidRPr="00F34947" w:rsidRDefault="002742FC" w:rsidP="00693325">
            <w:pPr>
              <w:rPr>
                <w:b/>
              </w:rPr>
            </w:pPr>
            <w:r w:rsidRPr="00F34947">
              <w:rPr>
                <w:b/>
              </w:rPr>
              <w:t>Themenblock</w:t>
            </w:r>
          </w:p>
        </w:tc>
        <w:tc>
          <w:tcPr>
            <w:tcW w:w="7404" w:type="dxa"/>
            <w:shd w:val="clear" w:color="auto" w:fill="auto"/>
          </w:tcPr>
          <w:p w:rsidR="002742FC" w:rsidRPr="00F34947" w:rsidRDefault="002742FC" w:rsidP="00693325">
            <w:pPr>
              <w:rPr>
                <w:b/>
              </w:rPr>
            </w:pPr>
            <w:r w:rsidRPr="00F34947">
              <w:rPr>
                <w:b/>
              </w:rPr>
              <w:t>Lernziele</w:t>
            </w:r>
          </w:p>
        </w:tc>
      </w:tr>
      <w:tr w:rsidR="002742FC" w:rsidRPr="00170BA8" w:rsidTr="00693325">
        <w:tc>
          <w:tcPr>
            <w:tcW w:w="2376" w:type="dxa"/>
            <w:shd w:val="clear" w:color="auto" w:fill="auto"/>
          </w:tcPr>
          <w:p w:rsidR="002742FC" w:rsidRPr="00F34947" w:rsidRDefault="002742FC" w:rsidP="00693325">
            <w:r w:rsidRPr="00F34947">
              <w:t>„Der Kupferbrief“</w:t>
            </w:r>
          </w:p>
        </w:tc>
        <w:tc>
          <w:tcPr>
            <w:tcW w:w="7404" w:type="dxa"/>
            <w:shd w:val="clear" w:color="auto" w:fill="auto"/>
          </w:tcPr>
          <w:p w:rsidR="002742FC" w:rsidRPr="00F34947" w:rsidRDefault="002742FC" w:rsidP="002742FC">
            <w:pPr>
              <w:pStyle w:val="Listenabsatz"/>
              <w:numPr>
                <w:ilvl w:val="0"/>
                <w:numId w:val="1"/>
              </w:numPr>
              <w:spacing w:after="200" w:line="276" w:lineRule="auto"/>
              <w:rPr>
                <w:sz w:val="22"/>
                <w:szCs w:val="22"/>
              </w:rPr>
            </w:pPr>
            <w:r w:rsidRPr="00F34947">
              <w:rPr>
                <w:sz w:val="22"/>
                <w:szCs w:val="22"/>
              </w:rPr>
              <w:t>Kupfer reagiert mit (Luft-)Sauerstoff</w:t>
            </w:r>
          </w:p>
          <w:p w:rsidR="002742FC" w:rsidRPr="00F34947" w:rsidRDefault="002742FC" w:rsidP="002742FC">
            <w:pPr>
              <w:pStyle w:val="Listenabsatz"/>
              <w:numPr>
                <w:ilvl w:val="0"/>
                <w:numId w:val="1"/>
              </w:numPr>
              <w:spacing w:after="200" w:line="276" w:lineRule="auto"/>
              <w:rPr>
                <w:sz w:val="22"/>
                <w:szCs w:val="22"/>
              </w:rPr>
            </w:pPr>
            <w:r w:rsidRPr="00F34947">
              <w:rPr>
                <w:sz w:val="22"/>
                <w:szCs w:val="22"/>
              </w:rPr>
              <w:t>Die Verbindung von einem Metall mit Sauerstoff nennt man Metalloxid.</w:t>
            </w:r>
          </w:p>
          <w:p w:rsidR="002742FC" w:rsidRPr="00F34947" w:rsidRDefault="002742FC" w:rsidP="002742FC">
            <w:pPr>
              <w:pStyle w:val="Listenabsatz"/>
              <w:numPr>
                <w:ilvl w:val="0"/>
                <w:numId w:val="1"/>
              </w:numPr>
              <w:spacing w:after="200" w:line="276" w:lineRule="auto"/>
              <w:rPr>
                <w:sz w:val="22"/>
                <w:szCs w:val="22"/>
              </w:rPr>
            </w:pPr>
            <w:r w:rsidRPr="00F34947">
              <w:rPr>
                <w:sz w:val="22"/>
                <w:szCs w:val="22"/>
              </w:rPr>
              <w:t>Aufstellen von Wortgleichungen</w:t>
            </w:r>
          </w:p>
        </w:tc>
      </w:tr>
      <w:tr w:rsidR="002742FC" w:rsidRPr="00170BA8" w:rsidTr="00693325">
        <w:tc>
          <w:tcPr>
            <w:tcW w:w="2376" w:type="dxa"/>
            <w:shd w:val="clear" w:color="auto" w:fill="auto"/>
          </w:tcPr>
          <w:p w:rsidR="002742FC" w:rsidRPr="00F34947" w:rsidRDefault="002742FC" w:rsidP="00693325">
            <w:r w:rsidRPr="00F34947">
              <w:t xml:space="preserve">„Gebrauchte Kupfermünzen“ – </w:t>
            </w:r>
            <w:r w:rsidRPr="00F34947">
              <w:lastRenderedPageBreak/>
              <w:t>Kupfergewinnung durch Reduktion</w:t>
            </w:r>
          </w:p>
        </w:tc>
        <w:tc>
          <w:tcPr>
            <w:tcW w:w="7404" w:type="dxa"/>
            <w:shd w:val="clear" w:color="auto" w:fill="auto"/>
          </w:tcPr>
          <w:p w:rsidR="002742FC" w:rsidRPr="00F34947" w:rsidRDefault="002742FC" w:rsidP="002742FC">
            <w:pPr>
              <w:pStyle w:val="Listenabsatz"/>
              <w:numPr>
                <w:ilvl w:val="0"/>
                <w:numId w:val="2"/>
              </w:numPr>
              <w:spacing w:after="200" w:line="276" w:lineRule="auto"/>
              <w:rPr>
                <w:sz w:val="22"/>
                <w:szCs w:val="22"/>
              </w:rPr>
            </w:pPr>
            <w:r w:rsidRPr="00F34947">
              <w:rPr>
                <w:sz w:val="22"/>
                <w:szCs w:val="22"/>
              </w:rPr>
              <w:lastRenderedPageBreak/>
              <w:t>Natürliches Vorkommen von Kupfer</w:t>
            </w:r>
          </w:p>
          <w:p w:rsidR="002742FC" w:rsidRPr="00F34947" w:rsidRDefault="002742FC" w:rsidP="002742FC">
            <w:pPr>
              <w:pStyle w:val="Listenabsatz"/>
              <w:numPr>
                <w:ilvl w:val="0"/>
                <w:numId w:val="2"/>
              </w:numPr>
              <w:spacing w:after="200" w:line="276" w:lineRule="auto"/>
              <w:rPr>
                <w:sz w:val="22"/>
                <w:szCs w:val="22"/>
              </w:rPr>
            </w:pPr>
            <w:r w:rsidRPr="00F34947">
              <w:rPr>
                <w:sz w:val="22"/>
                <w:szCs w:val="22"/>
              </w:rPr>
              <w:lastRenderedPageBreak/>
              <w:t>Rückgewinnung von Kupfer aus Kupferoxid durch die Reaktion mit Eisen – Schülerversuch mit gebrauchten Kupfermünzen und Eisen</w:t>
            </w:r>
            <w:r>
              <w:rPr>
                <w:sz w:val="22"/>
                <w:szCs w:val="22"/>
              </w:rPr>
              <w:t xml:space="preserve">; </w:t>
            </w:r>
            <w:r w:rsidRPr="00F34947">
              <w:rPr>
                <w:sz w:val="22"/>
                <w:szCs w:val="22"/>
              </w:rPr>
              <w:t xml:space="preserve">Möglichkeit zur anschließenden </w:t>
            </w:r>
            <w:r w:rsidRPr="00F34947">
              <w:rPr>
                <w:b/>
                <w:sz w:val="22"/>
                <w:szCs w:val="22"/>
              </w:rPr>
              <w:t>Förderung im Bereich der prozessbezogenen Kompetenzen, hier das „Schreiben von Versuchsprotokollen“</w:t>
            </w:r>
          </w:p>
          <w:p w:rsidR="002742FC" w:rsidRPr="00F34947" w:rsidRDefault="002742FC" w:rsidP="002742FC">
            <w:pPr>
              <w:pStyle w:val="Listenabsatz"/>
              <w:numPr>
                <w:ilvl w:val="0"/>
                <w:numId w:val="2"/>
              </w:numPr>
              <w:spacing w:after="200" w:line="276" w:lineRule="auto"/>
              <w:rPr>
                <w:sz w:val="22"/>
                <w:szCs w:val="22"/>
              </w:rPr>
            </w:pPr>
            <w:r w:rsidRPr="00F34947">
              <w:rPr>
                <w:sz w:val="22"/>
                <w:szCs w:val="22"/>
              </w:rPr>
              <w:t>Wiederholung der Begriffe exotherm und endotherm, denn hier liegt eine exotherme Reaktion vor</w:t>
            </w:r>
          </w:p>
          <w:p w:rsidR="002742FC" w:rsidRPr="00F34947" w:rsidRDefault="002742FC" w:rsidP="002742FC">
            <w:pPr>
              <w:pStyle w:val="Listenabsatz"/>
              <w:numPr>
                <w:ilvl w:val="0"/>
                <w:numId w:val="2"/>
              </w:numPr>
              <w:spacing w:after="200" w:line="276" w:lineRule="auto"/>
              <w:rPr>
                <w:sz w:val="22"/>
                <w:szCs w:val="22"/>
              </w:rPr>
            </w:pPr>
            <w:r w:rsidRPr="00F34947">
              <w:rPr>
                <w:sz w:val="22"/>
                <w:szCs w:val="22"/>
              </w:rPr>
              <w:t>Aufstellen der Wortgleichung</w:t>
            </w:r>
          </w:p>
          <w:p w:rsidR="002742FC" w:rsidRPr="00F34947" w:rsidRDefault="002742FC" w:rsidP="002742FC">
            <w:pPr>
              <w:pStyle w:val="Listenabsatz"/>
              <w:numPr>
                <w:ilvl w:val="0"/>
                <w:numId w:val="2"/>
              </w:numPr>
              <w:spacing w:after="200" w:line="276" w:lineRule="auto"/>
              <w:rPr>
                <w:sz w:val="22"/>
                <w:szCs w:val="22"/>
              </w:rPr>
            </w:pPr>
            <w:r w:rsidRPr="00F34947">
              <w:rPr>
                <w:sz w:val="22"/>
                <w:szCs w:val="22"/>
              </w:rPr>
              <w:t>Die Aufnahme von Sauerstoff als Oxidation und die Abgabe von Sauerstoff als Reduktion zu benennen.</w:t>
            </w:r>
          </w:p>
          <w:p w:rsidR="002742FC" w:rsidRPr="00F34947" w:rsidRDefault="002742FC" w:rsidP="002742FC">
            <w:pPr>
              <w:pStyle w:val="Listenabsatz"/>
              <w:numPr>
                <w:ilvl w:val="0"/>
                <w:numId w:val="2"/>
              </w:numPr>
              <w:spacing w:after="200" w:line="276" w:lineRule="auto"/>
              <w:rPr>
                <w:sz w:val="22"/>
                <w:szCs w:val="22"/>
              </w:rPr>
            </w:pPr>
            <w:r w:rsidRPr="00F34947">
              <w:rPr>
                <w:sz w:val="22"/>
                <w:szCs w:val="22"/>
              </w:rPr>
              <w:t>(ggf. Gesetz der konstanten Massenverhältnisse)</w:t>
            </w:r>
          </w:p>
        </w:tc>
      </w:tr>
      <w:tr w:rsidR="002742FC" w:rsidRPr="00170BA8" w:rsidTr="00693325">
        <w:tc>
          <w:tcPr>
            <w:tcW w:w="2376" w:type="dxa"/>
            <w:shd w:val="clear" w:color="auto" w:fill="auto"/>
          </w:tcPr>
          <w:p w:rsidR="002742FC" w:rsidRPr="00F34947" w:rsidRDefault="002742FC" w:rsidP="00693325">
            <w:r w:rsidRPr="00F34947">
              <w:lastRenderedPageBreak/>
              <w:t>„Wer ist der Sauerstofffavorit?“</w:t>
            </w:r>
          </w:p>
        </w:tc>
        <w:tc>
          <w:tcPr>
            <w:tcW w:w="7404" w:type="dxa"/>
            <w:shd w:val="clear" w:color="auto" w:fill="auto"/>
          </w:tcPr>
          <w:p w:rsidR="002742FC" w:rsidRPr="00F34947" w:rsidRDefault="002742FC" w:rsidP="002742FC">
            <w:pPr>
              <w:pStyle w:val="Listenabsatz"/>
              <w:numPr>
                <w:ilvl w:val="0"/>
                <w:numId w:val="1"/>
              </w:numPr>
              <w:spacing w:after="200" w:line="276" w:lineRule="auto"/>
              <w:rPr>
                <w:b/>
                <w:sz w:val="22"/>
                <w:szCs w:val="22"/>
              </w:rPr>
            </w:pPr>
            <w:r w:rsidRPr="00F34947">
              <w:rPr>
                <w:b/>
                <w:sz w:val="22"/>
                <w:szCs w:val="22"/>
              </w:rPr>
              <w:t>Übung zum Aufstellen von Wortgleichungen (Förderung im Bereich der konzeptbezogenen Kompetenzen)</w:t>
            </w:r>
          </w:p>
          <w:p w:rsidR="002742FC" w:rsidRPr="00F34947" w:rsidRDefault="002742FC" w:rsidP="002742FC">
            <w:pPr>
              <w:pStyle w:val="Listenabsatz"/>
              <w:numPr>
                <w:ilvl w:val="0"/>
                <w:numId w:val="1"/>
              </w:numPr>
              <w:spacing w:after="200" w:line="276" w:lineRule="auto"/>
              <w:rPr>
                <w:sz w:val="22"/>
                <w:szCs w:val="22"/>
              </w:rPr>
            </w:pPr>
            <w:r w:rsidRPr="00F34947">
              <w:rPr>
                <w:sz w:val="22"/>
                <w:szCs w:val="22"/>
              </w:rPr>
              <w:t xml:space="preserve">Aufstellen der </w:t>
            </w:r>
            <w:proofErr w:type="spellStart"/>
            <w:r w:rsidRPr="00F34947">
              <w:rPr>
                <w:sz w:val="22"/>
                <w:szCs w:val="22"/>
              </w:rPr>
              <w:t>Redoxreihe</w:t>
            </w:r>
            <w:proofErr w:type="spellEnd"/>
          </w:p>
          <w:p w:rsidR="002742FC" w:rsidRPr="00F34947" w:rsidRDefault="002742FC" w:rsidP="002742FC">
            <w:pPr>
              <w:pStyle w:val="Listenabsatz"/>
              <w:numPr>
                <w:ilvl w:val="0"/>
                <w:numId w:val="2"/>
              </w:numPr>
              <w:spacing w:after="200" w:line="276" w:lineRule="auto"/>
              <w:rPr>
                <w:sz w:val="22"/>
                <w:szCs w:val="22"/>
              </w:rPr>
            </w:pPr>
            <w:r w:rsidRPr="00F34947">
              <w:rPr>
                <w:sz w:val="22"/>
                <w:szCs w:val="22"/>
              </w:rPr>
              <w:t>Definition und Zuordnung der Begriffe starkes und schwaches Reduktionsmittel</w:t>
            </w:r>
          </w:p>
        </w:tc>
      </w:tr>
    </w:tbl>
    <w:p w:rsidR="002742FC" w:rsidRDefault="002742FC" w:rsidP="002742FC">
      <w:r w:rsidRPr="00F803F3">
        <w:br/>
      </w:r>
    </w:p>
    <w:sectPr w:rsidR="002742F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C25C6"/>
    <w:multiLevelType w:val="hybridMultilevel"/>
    <w:tmpl w:val="CCDC8C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0331F0"/>
    <w:multiLevelType w:val="hybridMultilevel"/>
    <w:tmpl w:val="FB267D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2FC"/>
    <w:rsid w:val="00001313"/>
    <w:rsid w:val="002742FC"/>
    <w:rsid w:val="006000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7B012-05DB-4745-A8A6-49773F77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qFormat/>
    <w:rsid w:val="002742FC"/>
    <w:pPr>
      <w:spacing w:after="0" w:line="240" w:lineRule="auto"/>
      <w:ind w:left="720"/>
      <w:contextualSpacing/>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2422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2015-12-14T21:09:00Z</dcterms:created>
  <dcterms:modified xsi:type="dcterms:W3CDTF">2015-12-14T21:09:00Z</dcterms:modified>
</cp:coreProperties>
</file>