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035" w:rsidRDefault="00816035" w:rsidP="00BD6598">
      <w:pPr>
        <w:spacing w:after="0" w:line="240" w:lineRule="auto"/>
        <w:rPr>
          <w:rFonts w:ascii="Arial" w:eastAsia="Arial Unicode MS" w:hAnsi="Arial" w:cs="Arial"/>
          <w:b/>
          <w:sz w:val="28"/>
          <w:szCs w:val="28"/>
          <w:u w:val="single"/>
        </w:rPr>
      </w:pPr>
      <w:bookmarkStart w:id="0" w:name="_GoBack"/>
      <w:bookmarkEnd w:id="0"/>
    </w:p>
    <w:p w:rsidR="00D72C4E" w:rsidRPr="00BD6598" w:rsidRDefault="00D72C4E" w:rsidP="00BD6598">
      <w:pPr>
        <w:spacing w:after="0" w:line="240" w:lineRule="auto"/>
        <w:rPr>
          <w:rFonts w:ascii="Arial" w:eastAsia="Arial Unicode MS" w:hAnsi="Arial" w:cs="Arial"/>
          <w:b/>
          <w:sz w:val="20"/>
          <w:szCs w:val="20"/>
        </w:rPr>
      </w:pPr>
      <w:r w:rsidRPr="00BD6598">
        <w:rPr>
          <w:rFonts w:ascii="Arial" w:eastAsia="Arial Unicode MS" w:hAnsi="Arial" w:cs="Arial"/>
          <w:b/>
          <w:sz w:val="28"/>
          <w:szCs w:val="28"/>
          <w:u w:val="single"/>
        </w:rPr>
        <w:t>Elektromobilität und Verkehr</w:t>
      </w:r>
      <w:r w:rsidRPr="00BD6598">
        <w:rPr>
          <w:rFonts w:ascii="Arial" w:eastAsia="Arial Unicode MS" w:hAnsi="Arial" w:cs="Arial"/>
          <w:b/>
          <w:sz w:val="28"/>
          <w:szCs w:val="28"/>
        </w:rPr>
        <w:t xml:space="preserve"> </w:t>
      </w:r>
      <w:r w:rsidR="001604D9" w:rsidRPr="00BD6598">
        <w:rPr>
          <w:rFonts w:ascii="Arial" w:eastAsia="Arial Unicode MS" w:hAnsi="Arial" w:cs="Arial"/>
          <w:b/>
          <w:sz w:val="28"/>
          <w:szCs w:val="28"/>
        </w:rPr>
        <w:t xml:space="preserve"> </w:t>
      </w:r>
      <w:r w:rsidRPr="00BD6598">
        <w:rPr>
          <w:rFonts w:ascii="Arial" w:eastAsia="Arial Unicode MS" w:hAnsi="Arial" w:cs="Arial"/>
          <w:b/>
          <w:sz w:val="20"/>
          <w:szCs w:val="20"/>
        </w:rPr>
        <w:t>(I</w:t>
      </w:r>
      <w:r w:rsidR="00E97D89">
        <w:rPr>
          <w:rFonts w:ascii="Arial" w:eastAsia="Arial Unicode MS" w:hAnsi="Arial" w:cs="Arial"/>
          <w:b/>
          <w:sz w:val="20"/>
          <w:szCs w:val="20"/>
        </w:rPr>
        <w:t xml:space="preserve">nhaltsfeld </w:t>
      </w:r>
      <w:r w:rsidRPr="00BD6598">
        <w:rPr>
          <w:rFonts w:ascii="Arial" w:eastAsia="Arial Unicode MS" w:hAnsi="Arial" w:cs="Arial"/>
          <w:b/>
          <w:sz w:val="20"/>
          <w:szCs w:val="20"/>
        </w:rPr>
        <w:t>5 – Entwicklungsfelder neuer Technologien)</w:t>
      </w:r>
    </w:p>
    <w:p w:rsidR="00BD6598" w:rsidRDefault="00BD6598" w:rsidP="0003329C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97529A" w:rsidRDefault="00337692" w:rsidP="00BD6598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Unterrichtsmaterialien mit </w:t>
      </w:r>
      <w:r w:rsidR="0097529A" w:rsidRPr="00BD6598">
        <w:rPr>
          <w:rFonts w:ascii="Arial" w:hAnsi="Arial" w:cs="Arial"/>
          <w:b/>
          <w:sz w:val="28"/>
          <w:szCs w:val="28"/>
        </w:rPr>
        <w:t>Diagramme</w:t>
      </w:r>
      <w:r w:rsidR="00E97D89">
        <w:rPr>
          <w:rFonts w:ascii="Arial" w:hAnsi="Arial" w:cs="Arial"/>
          <w:b/>
          <w:sz w:val="28"/>
          <w:szCs w:val="28"/>
        </w:rPr>
        <w:t>n</w:t>
      </w:r>
      <w:r w:rsidR="0097529A" w:rsidRPr="00BD6598">
        <w:rPr>
          <w:rFonts w:ascii="Arial" w:hAnsi="Arial" w:cs="Arial"/>
          <w:b/>
          <w:sz w:val="28"/>
          <w:szCs w:val="28"/>
        </w:rPr>
        <w:t>, Statistiken und grafische</w:t>
      </w:r>
      <w:r>
        <w:rPr>
          <w:rFonts w:ascii="Arial" w:hAnsi="Arial" w:cs="Arial"/>
          <w:b/>
          <w:sz w:val="28"/>
          <w:szCs w:val="28"/>
        </w:rPr>
        <w:t>n Darstellungen</w:t>
      </w:r>
    </w:p>
    <w:p w:rsidR="00BD6598" w:rsidRPr="00BD6598" w:rsidRDefault="00BD6598" w:rsidP="00BD659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72C4E" w:rsidRDefault="00D72C4E" w:rsidP="00D72C4E">
      <w:pPr>
        <w:jc w:val="both"/>
        <w:rPr>
          <w:rFonts w:ascii="Arial" w:hAnsi="Arial" w:cs="Arial"/>
        </w:rPr>
        <w:sectPr w:rsidR="00D72C4E">
          <w:headerReference w:type="default" r:id="rId8"/>
          <w:footerReference w:type="even" r:id="rId9"/>
          <w:footerReference w:type="default" r:id="rId1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F9B43" wp14:editId="67444D2D">
                <wp:simplePos x="0" y="0"/>
                <wp:positionH relativeFrom="column">
                  <wp:posOffset>228600</wp:posOffset>
                </wp:positionH>
                <wp:positionV relativeFrom="paragraph">
                  <wp:posOffset>91440</wp:posOffset>
                </wp:positionV>
                <wp:extent cx="5398770" cy="4645025"/>
                <wp:effectExtent l="0" t="0" r="11430" b="15240"/>
                <wp:wrapNone/>
                <wp:docPr id="258052" name="Textfeld 258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8770" cy="464502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B80" w:rsidRPr="00232CA0" w:rsidRDefault="00432B80" w:rsidP="00BD65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32C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Lehrplanbezug</w:t>
                            </w:r>
                          </w:p>
                          <w:p w:rsidR="00432B80" w:rsidRPr="00232CA0" w:rsidRDefault="00BD6598" w:rsidP="00BD6598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232CA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Unter Anderem wird die Ausbildung der folgenden konkretisierten Kompetenzerwartungen unterstützt:</w:t>
                            </w:r>
                          </w:p>
                          <w:p w:rsidR="00FE2B01" w:rsidRPr="00232CA0" w:rsidRDefault="00FE2B01" w:rsidP="00BD6598">
                            <w:pPr>
                              <w:spacing w:after="0" w:line="240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:rsidR="00D72C4E" w:rsidRPr="00232CA0" w:rsidRDefault="00FE2B01" w:rsidP="00BD659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32C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Sach- und </w:t>
                            </w:r>
                            <w:r w:rsidR="00775C68" w:rsidRPr="00232C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Urteilskompetenzen</w:t>
                            </w:r>
                          </w:p>
                          <w:p w:rsidR="00337692" w:rsidRDefault="00BA04C6" w:rsidP="00BD6598">
                            <w:pPr>
                              <w:widowControl w:val="0"/>
                              <w:suppressLineNumbers/>
                              <w:suppressAutoHyphens/>
                              <w:spacing w:after="0" w:line="240" w:lineRule="auto"/>
                              <w:ind w:firstLine="284"/>
                              <w:rPr>
                                <w:rFonts w:ascii="Arial" w:eastAsia="AR PL KaitiM GB" w:hAnsi="Arial" w:cs="Arial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Schülerinnen und Schüler</w:t>
                            </w:r>
                          </w:p>
                          <w:p w:rsidR="00337692" w:rsidRPr="00337692" w:rsidRDefault="00BA04C6" w:rsidP="00337692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suppressLineNumbers/>
                              <w:suppressAutoHyphens/>
                              <w:rPr>
                                <w:rFonts w:ascii="Arial" w:eastAsia="AR PL KaitiM GB" w:hAnsi="Arial" w:cs="Arial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337692">
                              <w:rPr>
                                <w:rFonts w:ascii="Arial" w:eastAsia="AR PL KaitiM GB" w:hAnsi="Arial" w:cs="Arial"/>
                                <w:iCs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stellen Infrastrukturen von Verkehrssystemen dar</w:t>
                            </w:r>
                            <w:r w:rsidR="00337692">
                              <w:rPr>
                                <w:rFonts w:ascii="Arial" w:eastAsia="AR PL KaitiM GB" w:hAnsi="Arial" w:cs="Arial"/>
                                <w:iCs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,</w:t>
                            </w:r>
                          </w:p>
                          <w:p w:rsidR="00BA04C6" w:rsidRPr="00337692" w:rsidRDefault="00BA04C6" w:rsidP="00337692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suppressLineNumbers/>
                              <w:suppressAutoHyphens/>
                              <w:rPr>
                                <w:rFonts w:ascii="Arial" w:eastAsia="AR PL KaitiM GB" w:hAnsi="Arial" w:cs="Arial"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</w:pPr>
                            <w:r w:rsidRPr="00337692">
                              <w:rPr>
                                <w:rFonts w:ascii="Arial" w:eastAsia="AR PL KaitiM GB" w:hAnsi="Arial" w:cs="Arial"/>
                                <w:iCs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erörtern Möglichkeiten und Grenzen des Individualverkehrs</w:t>
                            </w:r>
                            <w:r w:rsidR="001604D9" w:rsidRPr="00337692">
                              <w:rPr>
                                <w:rFonts w:ascii="Arial" w:eastAsia="AR PL KaitiM GB" w:hAnsi="Arial" w:cs="Arial"/>
                                <w:iCs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>.</w:t>
                            </w:r>
                            <w:r w:rsidRPr="00337692">
                              <w:rPr>
                                <w:rFonts w:ascii="Arial" w:eastAsia="AR PL KaitiM GB" w:hAnsi="Arial" w:cs="Arial"/>
                                <w:iCs/>
                                <w:kern w:val="1"/>
                                <w:sz w:val="20"/>
                                <w:szCs w:val="20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:rsidR="00775C68" w:rsidRPr="00232CA0" w:rsidRDefault="00775C68" w:rsidP="00BD659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72C4E" w:rsidRPr="00232CA0" w:rsidRDefault="00D72C4E" w:rsidP="00BD6598">
                            <w:pPr>
                              <w:pStyle w:val="Listenabsatz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32C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Hinweise</w:t>
                            </w:r>
                            <w:r w:rsidR="00552B13" w:rsidRPr="00232CA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zum Umgang mit diesem Material</w:t>
                            </w:r>
                          </w:p>
                          <w:p w:rsidR="00D72C4E" w:rsidRPr="00232CA0" w:rsidRDefault="00D72C4E" w:rsidP="00BD6598">
                            <w:pPr>
                              <w:pStyle w:val="Listenabsatz"/>
                              <w:ind w:left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Das Material </w:t>
                            </w:r>
                            <w:r w:rsidR="004700C3"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enthält verschiedene Diagramme und grafische Darstellungen zu den Themen Bevölkerungsentwicklung, Demografischer Wandel, Urbanisierung und CO</w:t>
                            </w:r>
                            <w:r w:rsidR="004700C3"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="004700C3"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-Ausstoß</w:t>
                            </w:r>
                            <w:r w:rsidR="009A32CF"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Die Diagramme können i</w:t>
                            </w:r>
                            <w:r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 d</w:t>
                            </w:r>
                            <w:r w:rsidR="009A32CF"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er</w:t>
                            </w:r>
                            <w:r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Unterrichtseinheit „Elektromobilität und Verkehr“ </w:t>
                            </w:r>
                            <w:r w:rsidR="009A32CF"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analysiert und interpretiert werden, dabei können auch quantitative Analysen, Berechnungen und Auswertungen durchgeführt werden. Weiterhin können prognostizierte Aussagen zur Bevölkerungsentwicklung und zum CO</w:t>
                            </w:r>
                            <w:r w:rsidR="009A32CF"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 w:rsidR="009A32CF" w:rsidRPr="00232CA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-Ausstoß getroffen werden.</w:t>
                            </w:r>
                          </w:p>
                          <w:p w:rsidR="001604D9" w:rsidRPr="00232CA0" w:rsidRDefault="001604D9" w:rsidP="00BD6598">
                            <w:pPr>
                              <w:pStyle w:val="Listenabsatz"/>
                              <w:ind w:left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75C68" w:rsidRPr="00232CA0" w:rsidRDefault="00775C68" w:rsidP="00BD6598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rFonts w:ascii="Arial" w:eastAsia="Arial Unicode MS" w:hAnsi="Arial" w:cs="Arial"/>
                                <w:b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32CA0">
                              <w:rPr>
                                <w:rFonts w:ascii="Arial" w:eastAsia="Arial Unicode MS" w:hAnsi="Arial" w:cs="Arial"/>
                                <w:b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Bezug zu anderen Unterrichtsvorhaben und Inhaltsfeldern</w:t>
                            </w:r>
                          </w:p>
                          <w:p w:rsidR="00775C68" w:rsidRPr="00232CA0" w:rsidRDefault="00775C68" w:rsidP="00BD6598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kinsoku w:val="0"/>
                              <w:overflowPunct w:val="0"/>
                              <w:spacing w:after="0" w:line="240" w:lineRule="auto"/>
                              <w:ind w:left="567" w:hanging="283"/>
                              <w:textAlignment w:val="baseline"/>
                              <w:rPr>
                                <w:rFonts w:ascii="Arial" w:eastAsia="Arial Unicode MS" w:hAnsi="Arial" w:cs="Arial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32CA0">
                              <w:rPr>
                                <w:rFonts w:ascii="Arial" w:eastAsia="Arial Unicode MS" w:hAnsi="Arial" w:cs="Arial"/>
                                <w:kern w:val="24"/>
                                <w:sz w:val="20"/>
                                <w:szCs w:val="20"/>
                              </w:rPr>
                              <w:t>Sicherheits- und Sensortechnik (IF3 – Automatisierungstechnik)</w:t>
                            </w:r>
                          </w:p>
                          <w:p w:rsidR="00D72C4E" w:rsidRPr="00232CA0" w:rsidRDefault="00775C68" w:rsidP="00BD6598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720"/>
                              </w:tabs>
                              <w:kinsoku w:val="0"/>
                              <w:overflowPunct w:val="0"/>
                              <w:spacing w:after="0" w:line="240" w:lineRule="auto"/>
                              <w:ind w:left="567" w:hanging="283"/>
                              <w:textAlignment w:val="baseline"/>
                              <w:rPr>
                                <w:rFonts w:ascii="Arial" w:eastAsia="Arial Unicode MS" w:hAnsi="Arial" w:cs="Arial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232CA0">
                              <w:rPr>
                                <w:rFonts w:ascii="Arial" w:eastAsia="Arial Unicode MS" w:hAnsi="Arial" w:cs="Arial"/>
                                <w:kern w:val="24"/>
                                <w:sz w:val="20"/>
                                <w:szCs w:val="20"/>
                              </w:rPr>
                              <w:t>Stromversorgung in der Zukunft (IF4 – Versorgung mit elektrischer Energie)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8F9B43" id="_x0000_t202" coordsize="21600,21600" o:spt="202" path="m,l,21600r21600,l21600,xe">
                <v:stroke joinstyle="miter"/>
                <v:path gradientshapeok="t" o:connecttype="rect"/>
              </v:shapetype>
              <v:shape id="Textfeld 258052" o:spid="_x0000_s1026" type="#_x0000_t202" style="position:absolute;left:0;text-align:left;margin-left:18pt;margin-top:7.2pt;width:425.1pt;height:365.7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" fillcolor="#d8d8d8">
                <v:textbox style="mso-fit-shape-to-text:t">
                  <w:txbxContent>
                    <w:p w:rsidR="00432B80" w:rsidRPr="00232CA0" w:rsidRDefault="00432B80" w:rsidP="00BD65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32CA0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Lehrplanbezug</w:t>
                      </w:r>
                    </w:p>
                    <w:p w:rsidR="00432B80" w:rsidRPr="00232CA0" w:rsidRDefault="00BD6598" w:rsidP="00BD6598">
                      <w:pPr>
                        <w:spacing w:after="0" w:line="24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232CA0">
                        <w:rPr>
                          <w:rFonts w:ascii="Arial" w:hAnsi="Arial"/>
                          <w:sz w:val="20"/>
                          <w:szCs w:val="20"/>
                        </w:rPr>
                        <w:t>Unter Anderem wird die Ausbildung der folgenden konkretisierten Kompetenzerwartungen unterstützt:</w:t>
                      </w:r>
                    </w:p>
                    <w:p w:rsidR="00FE2B01" w:rsidRPr="00232CA0" w:rsidRDefault="00FE2B01" w:rsidP="00BD6598">
                      <w:pPr>
                        <w:spacing w:after="0" w:line="240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:rsidR="00D72C4E" w:rsidRPr="00232CA0" w:rsidRDefault="00FE2B01" w:rsidP="00BD659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32CA0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Sach- und </w:t>
                      </w:r>
                      <w:r w:rsidR="00775C68" w:rsidRPr="00232CA0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Urteilskompetenzen</w:t>
                      </w:r>
                    </w:p>
                    <w:p w:rsidR="00337692" w:rsidRDefault="00BA04C6" w:rsidP="00BD6598">
                      <w:pPr>
                        <w:widowControl w:val="0"/>
                        <w:suppressLineNumbers/>
                        <w:suppressAutoHyphens/>
                        <w:spacing w:after="0" w:line="240" w:lineRule="auto"/>
                        <w:ind w:firstLine="284"/>
                        <w:rPr>
                          <w:rFonts w:ascii="Arial" w:eastAsia="AR PL KaitiM GB" w:hAnsi="Arial" w:cs="Arial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>Die Schülerinnen und Schüler</w:t>
                      </w:r>
                    </w:p>
                    <w:p w:rsidR="00337692" w:rsidRPr="00337692" w:rsidRDefault="00BA04C6" w:rsidP="00337692">
                      <w:pPr>
                        <w:pStyle w:val="Listenabsatz"/>
                        <w:widowControl w:val="0"/>
                        <w:numPr>
                          <w:ilvl w:val="0"/>
                          <w:numId w:val="29"/>
                        </w:numPr>
                        <w:suppressLineNumbers/>
                        <w:suppressAutoHyphens/>
                        <w:rPr>
                          <w:rFonts w:ascii="Arial" w:eastAsia="AR PL KaitiM GB" w:hAnsi="Arial" w:cs="Arial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337692">
                        <w:rPr>
                          <w:rFonts w:ascii="Arial" w:eastAsia="AR PL KaitiM GB" w:hAnsi="Arial" w:cs="Arial"/>
                          <w:iCs/>
                          <w:kern w:val="1"/>
                          <w:sz w:val="20"/>
                          <w:szCs w:val="20"/>
                          <w:lang w:eastAsia="zh-CN" w:bidi="hi-IN"/>
                        </w:rPr>
                        <w:t>stellen Infrastrukturen von Verkehrssystemen dar</w:t>
                      </w:r>
                      <w:r w:rsidR="00337692">
                        <w:rPr>
                          <w:rFonts w:ascii="Arial" w:eastAsia="AR PL KaitiM GB" w:hAnsi="Arial" w:cs="Arial"/>
                          <w:iCs/>
                          <w:kern w:val="1"/>
                          <w:sz w:val="20"/>
                          <w:szCs w:val="20"/>
                          <w:lang w:eastAsia="zh-CN" w:bidi="hi-IN"/>
                        </w:rPr>
                        <w:t>,</w:t>
                      </w:r>
                    </w:p>
                    <w:p w:rsidR="00BA04C6" w:rsidRPr="00337692" w:rsidRDefault="00BA04C6" w:rsidP="00337692">
                      <w:pPr>
                        <w:pStyle w:val="Listenabsatz"/>
                        <w:widowControl w:val="0"/>
                        <w:numPr>
                          <w:ilvl w:val="0"/>
                          <w:numId w:val="29"/>
                        </w:numPr>
                        <w:suppressLineNumbers/>
                        <w:suppressAutoHyphens/>
                        <w:rPr>
                          <w:rFonts w:ascii="Arial" w:eastAsia="AR PL KaitiM GB" w:hAnsi="Arial" w:cs="Arial"/>
                          <w:kern w:val="1"/>
                          <w:sz w:val="20"/>
                          <w:szCs w:val="20"/>
                          <w:lang w:eastAsia="zh-CN" w:bidi="hi-IN"/>
                        </w:rPr>
                      </w:pPr>
                      <w:r w:rsidRPr="00337692">
                        <w:rPr>
                          <w:rFonts w:ascii="Arial" w:eastAsia="AR PL KaitiM GB" w:hAnsi="Arial" w:cs="Arial"/>
                          <w:iCs/>
                          <w:kern w:val="1"/>
                          <w:sz w:val="20"/>
                          <w:szCs w:val="20"/>
                          <w:lang w:eastAsia="zh-CN" w:bidi="hi-IN"/>
                        </w:rPr>
                        <w:t>erörtern Möglichkeiten und Grenzen des Individualverkehrs</w:t>
                      </w:r>
                      <w:r w:rsidR="001604D9" w:rsidRPr="00337692">
                        <w:rPr>
                          <w:rFonts w:ascii="Arial" w:eastAsia="AR PL KaitiM GB" w:hAnsi="Arial" w:cs="Arial"/>
                          <w:iCs/>
                          <w:kern w:val="1"/>
                          <w:sz w:val="20"/>
                          <w:szCs w:val="20"/>
                          <w:lang w:eastAsia="zh-CN" w:bidi="hi-IN"/>
                        </w:rPr>
                        <w:t>.</w:t>
                      </w:r>
                      <w:r w:rsidRPr="00337692">
                        <w:rPr>
                          <w:rFonts w:ascii="Arial" w:eastAsia="AR PL KaitiM GB" w:hAnsi="Arial" w:cs="Arial"/>
                          <w:iCs/>
                          <w:kern w:val="1"/>
                          <w:sz w:val="20"/>
                          <w:szCs w:val="20"/>
                          <w:lang w:eastAsia="zh-CN" w:bidi="hi-IN"/>
                        </w:rPr>
                        <w:t xml:space="preserve"> </w:t>
                      </w:r>
                    </w:p>
                    <w:p w:rsidR="00775C68" w:rsidRPr="00232CA0" w:rsidRDefault="00775C68" w:rsidP="00BD659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72C4E" w:rsidRPr="00232CA0" w:rsidRDefault="00D72C4E" w:rsidP="00BD6598">
                      <w:pPr>
                        <w:pStyle w:val="Listenabsatz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232CA0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Hinweise</w:t>
                      </w:r>
                      <w:r w:rsidR="00552B13" w:rsidRPr="00232CA0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 xml:space="preserve"> zum Umgang mit diesem Material</w:t>
                      </w:r>
                    </w:p>
                    <w:p w:rsidR="00D72C4E" w:rsidRPr="00232CA0" w:rsidRDefault="00D72C4E" w:rsidP="00BD6598">
                      <w:pPr>
                        <w:pStyle w:val="Listenabsatz"/>
                        <w:ind w:left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Das Material </w:t>
                      </w:r>
                      <w:r w:rsidR="004700C3"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>enthält verschiedene Diagramme und grafische Darstellungen zu den Themen Bevölkerungsentwicklung, Demografischer Wandel, Urbanisierung und CO</w:t>
                      </w:r>
                      <w:r w:rsidR="004700C3" w:rsidRPr="00232CA0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="004700C3"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>-Ausstoß</w:t>
                      </w:r>
                      <w:r w:rsidR="009A32CF"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>. Die Diagramme können i</w:t>
                      </w:r>
                      <w:r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>n d</w:t>
                      </w:r>
                      <w:r w:rsidR="009A32CF"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>er</w:t>
                      </w:r>
                      <w:r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Unterrichtseinheit „Elektromobilität und Verkehr“ </w:t>
                      </w:r>
                      <w:r w:rsidR="009A32CF"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>analysiert und interpretiert werden, dabei können auch quantitative Analysen, Berechnungen und Auswertungen durchgeführt werden. Weiterhin können prognostizierte Aussagen zur Bevölkerungsentwicklung und zum CO</w:t>
                      </w:r>
                      <w:r w:rsidR="009A32CF" w:rsidRPr="00232CA0">
                        <w:rPr>
                          <w:rFonts w:ascii="Arial" w:hAnsi="Arial" w:cs="Arial"/>
                          <w:sz w:val="20"/>
                          <w:szCs w:val="20"/>
                          <w:vertAlign w:val="subscript"/>
                        </w:rPr>
                        <w:t>2</w:t>
                      </w:r>
                      <w:r w:rsidR="009A32CF" w:rsidRPr="00232CA0">
                        <w:rPr>
                          <w:rFonts w:ascii="Arial" w:hAnsi="Arial" w:cs="Arial"/>
                          <w:sz w:val="20"/>
                          <w:szCs w:val="20"/>
                        </w:rPr>
                        <w:t>-Ausstoß getroffen werden.</w:t>
                      </w:r>
                    </w:p>
                    <w:p w:rsidR="001604D9" w:rsidRPr="00232CA0" w:rsidRDefault="001604D9" w:rsidP="00BD6598">
                      <w:pPr>
                        <w:pStyle w:val="Listenabsatz"/>
                        <w:ind w:left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75C68" w:rsidRPr="00232CA0" w:rsidRDefault="00775C68" w:rsidP="00BD6598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rFonts w:ascii="Arial" w:eastAsia="Arial Unicode MS" w:hAnsi="Arial" w:cs="Arial"/>
                          <w:b/>
                          <w:kern w:val="24"/>
                          <w:sz w:val="20"/>
                          <w:szCs w:val="20"/>
                          <w:u w:val="single"/>
                        </w:rPr>
                      </w:pPr>
                      <w:r w:rsidRPr="00232CA0">
                        <w:rPr>
                          <w:rFonts w:ascii="Arial" w:eastAsia="Arial Unicode MS" w:hAnsi="Arial" w:cs="Arial"/>
                          <w:b/>
                          <w:kern w:val="24"/>
                          <w:sz w:val="20"/>
                          <w:szCs w:val="20"/>
                          <w:u w:val="single"/>
                        </w:rPr>
                        <w:t>Bezug zu anderen Unterrichtsvorhaben und Inhaltsfeldern</w:t>
                      </w:r>
                    </w:p>
                    <w:p w:rsidR="00775C68" w:rsidRPr="00232CA0" w:rsidRDefault="00775C68" w:rsidP="00BD6598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kinsoku w:val="0"/>
                        <w:overflowPunct w:val="0"/>
                        <w:spacing w:after="0" w:line="240" w:lineRule="auto"/>
                        <w:ind w:left="567" w:hanging="283"/>
                        <w:textAlignment w:val="baseline"/>
                        <w:rPr>
                          <w:rFonts w:ascii="Arial" w:eastAsia="Arial Unicode MS" w:hAnsi="Arial" w:cs="Arial"/>
                          <w:kern w:val="24"/>
                          <w:sz w:val="20"/>
                          <w:szCs w:val="20"/>
                        </w:rPr>
                      </w:pPr>
                      <w:r w:rsidRPr="00232CA0">
                        <w:rPr>
                          <w:rFonts w:ascii="Arial" w:eastAsia="Arial Unicode MS" w:hAnsi="Arial" w:cs="Arial"/>
                          <w:kern w:val="24"/>
                          <w:sz w:val="20"/>
                          <w:szCs w:val="20"/>
                        </w:rPr>
                        <w:t>Sicherheits- und Sensortechnik (IF3 – Automatisierungstechnik)</w:t>
                      </w:r>
                    </w:p>
                    <w:p w:rsidR="00D72C4E" w:rsidRPr="00232CA0" w:rsidRDefault="00775C68" w:rsidP="00BD6598">
                      <w:pPr>
                        <w:numPr>
                          <w:ilvl w:val="0"/>
                          <w:numId w:val="20"/>
                        </w:numPr>
                        <w:tabs>
                          <w:tab w:val="clear" w:pos="720"/>
                        </w:tabs>
                        <w:kinsoku w:val="0"/>
                        <w:overflowPunct w:val="0"/>
                        <w:spacing w:after="0" w:line="240" w:lineRule="auto"/>
                        <w:ind w:left="567" w:hanging="283"/>
                        <w:textAlignment w:val="baseline"/>
                        <w:rPr>
                          <w:rFonts w:ascii="Arial" w:eastAsia="Arial Unicode MS" w:hAnsi="Arial" w:cs="Arial"/>
                          <w:kern w:val="24"/>
                          <w:sz w:val="20"/>
                          <w:szCs w:val="20"/>
                        </w:rPr>
                      </w:pPr>
                      <w:r w:rsidRPr="00232CA0">
                        <w:rPr>
                          <w:rFonts w:ascii="Arial" w:eastAsia="Arial Unicode MS" w:hAnsi="Arial" w:cs="Arial"/>
                          <w:kern w:val="24"/>
                          <w:sz w:val="20"/>
                          <w:szCs w:val="20"/>
                        </w:rPr>
                        <w:t>Stromversorgung in der Zukunft (IF4 – Versorgung mit elektrischer Energie)</w:t>
                      </w:r>
                    </w:p>
                  </w:txbxContent>
                </v:textbox>
              </v:shape>
            </w:pict>
          </mc:Fallback>
        </mc:AlternateContent>
      </w: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  <w:lang w:eastAsia="de-DE"/>
        </w:rPr>
      </w:pPr>
    </w:p>
    <w:p w:rsidR="003603B9" w:rsidRPr="00151121" w:rsidRDefault="002E70D7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b/>
          <w:kern w:val="24"/>
          <w:sz w:val="28"/>
          <w:szCs w:val="28"/>
          <w:u w:val="single"/>
        </w:rPr>
      </w:pPr>
      <w:r>
        <w:rPr>
          <w:rFonts w:ascii="Arial" w:eastAsia="Arial Unicode MS" w:hAnsi="Arial" w:cs="Arial"/>
          <w:b/>
          <w:kern w:val="24"/>
          <w:sz w:val="28"/>
          <w:szCs w:val="28"/>
          <w:u w:val="single"/>
        </w:rPr>
        <w:t>Diagramme, Statisti</w:t>
      </w:r>
      <w:r w:rsidR="00AE507C">
        <w:rPr>
          <w:rFonts w:ascii="Arial" w:eastAsia="Arial Unicode MS" w:hAnsi="Arial" w:cs="Arial"/>
          <w:b/>
          <w:kern w:val="24"/>
          <w:sz w:val="28"/>
          <w:szCs w:val="28"/>
          <w:u w:val="single"/>
        </w:rPr>
        <w:t>ken und grafische Darstellungen</w:t>
      </w:r>
    </w:p>
    <w:p w:rsidR="000A60FB" w:rsidRDefault="000A60FB" w:rsidP="000A60FB">
      <w:pPr>
        <w:kinsoku w:val="0"/>
        <w:overflowPunct w:val="0"/>
        <w:spacing w:after="200" w:line="276" w:lineRule="auto"/>
        <w:textAlignment w:val="baseline"/>
        <w:rPr>
          <w:rFonts w:ascii="Arial" w:eastAsia="Arial Unicode MS" w:hAnsi="Arial" w:cs="Arial"/>
        </w:rPr>
      </w:pPr>
    </w:p>
    <w:p w:rsidR="000A60FB" w:rsidRPr="000A60FB" w:rsidRDefault="000A60FB" w:rsidP="000A60FB">
      <w:pPr>
        <w:kinsoku w:val="0"/>
        <w:overflowPunct w:val="0"/>
        <w:spacing w:after="200" w:line="276" w:lineRule="auto"/>
        <w:textAlignment w:val="baseline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Verkehr und …</w:t>
      </w:r>
    </w:p>
    <w:p w:rsidR="003F1D47" w:rsidRPr="002A608B" w:rsidRDefault="003F1D47" w:rsidP="002A608B">
      <w:pPr>
        <w:pStyle w:val="Listenabsatz"/>
        <w:numPr>
          <w:ilvl w:val="0"/>
          <w:numId w:val="8"/>
        </w:numPr>
        <w:kinsoku w:val="0"/>
        <w:overflowPunct w:val="0"/>
        <w:spacing w:after="200" w:line="276" w:lineRule="auto"/>
        <w:textAlignment w:val="baseline"/>
        <w:rPr>
          <w:rFonts w:ascii="Arial" w:eastAsia="Arial Unicode MS" w:hAnsi="Arial" w:cs="Arial"/>
        </w:rPr>
      </w:pPr>
      <w:r w:rsidRPr="002A608B">
        <w:rPr>
          <w:rFonts w:ascii="Arial" w:eastAsia="Arial Unicode MS" w:hAnsi="Arial" w:cs="Arial"/>
          <w:kern w:val="24"/>
        </w:rPr>
        <w:t>Bevölkerungsentwicklung</w:t>
      </w:r>
    </w:p>
    <w:p w:rsidR="003F1D47" w:rsidRPr="002A608B" w:rsidRDefault="003F1D47" w:rsidP="002A608B">
      <w:pPr>
        <w:pStyle w:val="Listenabsatz"/>
        <w:numPr>
          <w:ilvl w:val="0"/>
          <w:numId w:val="8"/>
        </w:numPr>
        <w:kinsoku w:val="0"/>
        <w:overflowPunct w:val="0"/>
        <w:spacing w:after="200" w:line="276" w:lineRule="auto"/>
        <w:textAlignment w:val="baseline"/>
        <w:rPr>
          <w:rFonts w:ascii="Arial" w:eastAsia="Arial Unicode MS" w:hAnsi="Arial" w:cs="Arial"/>
        </w:rPr>
      </w:pPr>
      <w:r w:rsidRPr="002A608B">
        <w:rPr>
          <w:rFonts w:ascii="Arial" w:eastAsia="Arial Unicode MS" w:hAnsi="Arial" w:cs="Arial"/>
          <w:kern w:val="24"/>
        </w:rPr>
        <w:t>Demografischer Wandel</w:t>
      </w:r>
    </w:p>
    <w:p w:rsidR="003F1D47" w:rsidRPr="002A608B" w:rsidRDefault="003F1D47" w:rsidP="002A608B">
      <w:pPr>
        <w:pStyle w:val="Listenabsatz"/>
        <w:numPr>
          <w:ilvl w:val="0"/>
          <w:numId w:val="8"/>
        </w:numPr>
        <w:kinsoku w:val="0"/>
        <w:overflowPunct w:val="0"/>
        <w:spacing w:after="200" w:line="276" w:lineRule="auto"/>
        <w:textAlignment w:val="baseline"/>
        <w:rPr>
          <w:rFonts w:ascii="Arial" w:eastAsia="Arial Unicode MS" w:hAnsi="Arial" w:cs="Arial"/>
        </w:rPr>
      </w:pPr>
      <w:r w:rsidRPr="002A608B">
        <w:rPr>
          <w:rFonts w:ascii="Arial" w:eastAsia="Arial Unicode MS" w:hAnsi="Arial" w:cs="Arial"/>
          <w:kern w:val="24"/>
        </w:rPr>
        <w:t>Urbanisierung</w:t>
      </w:r>
    </w:p>
    <w:p w:rsidR="003F1D47" w:rsidRPr="002A608B" w:rsidRDefault="003F1D47" w:rsidP="002A608B">
      <w:pPr>
        <w:pStyle w:val="Listenabsatz"/>
        <w:numPr>
          <w:ilvl w:val="0"/>
          <w:numId w:val="8"/>
        </w:numPr>
        <w:kinsoku w:val="0"/>
        <w:overflowPunct w:val="0"/>
        <w:spacing w:after="200" w:line="276" w:lineRule="auto"/>
        <w:textAlignment w:val="baseline"/>
        <w:rPr>
          <w:rFonts w:ascii="Arial" w:eastAsia="Arial Unicode MS" w:hAnsi="Arial" w:cs="Arial"/>
        </w:rPr>
      </w:pPr>
      <w:r w:rsidRPr="002A608B">
        <w:rPr>
          <w:rFonts w:ascii="Arial" w:eastAsia="Arial Unicode MS" w:hAnsi="Arial" w:cs="Arial"/>
          <w:kern w:val="24"/>
        </w:rPr>
        <w:t>CO</w:t>
      </w:r>
      <w:r w:rsidRPr="002A608B">
        <w:rPr>
          <w:rFonts w:ascii="Arial" w:eastAsia="Arial Unicode MS" w:hAnsi="Arial" w:cs="Arial"/>
          <w:kern w:val="24"/>
          <w:position w:val="-6"/>
          <w:vertAlign w:val="subscript"/>
        </w:rPr>
        <w:t>2</w:t>
      </w:r>
      <w:r w:rsidRPr="002A608B">
        <w:rPr>
          <w:rFonts w:ascii="Arial" w:eastAsia="Arial Unicode MS" w:hAnsi="Arial" w:cs="Arial"/>
          <w:kern w:val="24"/>
        </w:rPr>
        <w:t>-Ausstoß</w:t>
      </w:r>
    </w:p>
    <w:p w:rsidR="003F1D47" w:rsidRPr="002A608B" w:rsidRDefault="003F1D47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3F1D47" w:rsidRPr="00151121" w:rsidRDefault="003F1D47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b/>
          <w:kern w:val="24"/>
          <w:sz w:val="28"/>
          <w:szCs w:val="28"/>
          <w:u w:val="single"/>
        </w:rPr>
      </w:pPr>
      <w:r w:rsidRPr="00151121">
        <w:rPr>
          <w:rFonts w:ascii="Arial" w:eastAsia="Arial Unicode MS" w:hAnsi="Arial" w:cs="Arial"/>
          <w:b/>
          <w:kern w:val="24"/>
          <w:sz w:val="28"/>
          <w:szCs w:val="28"/>
          <w:u w:val="single"/>
        </w:rPr>
        <w:t>Bevölkerungsentwicklung</w:t>
      </w:r>
      <w:r w:rsidR="00314495" w:rsidRPr="00151121">
        <w:rPr>
          <w:rFonts w:ascii="Arial" w:eastAsia="Arial Unicode MS" w:hAnsi="Arial" w:cs="Arial"/>
          <w:b/>
          <w:kern w:val="24"/>
          <w:sz w:val="28"/>
          <w:szCs w:val="28"/>
          <w:u w:val="single"/>
        </w:rPr>
        <w:t xml:space="preserve"> Deutschland</w:t>
      </w: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  <w:u w:val="single"/>
        </w:rPr>
      </w:pPr>
    </w:p>
    <w:p w:rsidR="003F1D47" w:rsidRPr="002A608B" w:rsidRDefault="00EB3E18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noProof/>
          <w:sz w:val="24"/>
          <w:szCs w:val="24"/>
          <w:lang w:eastAsia="de-DE"/>
        </w:rPr>
        <w:drawing>
          <wp:inline distT="0" distB="0" distL="0" distR="0" wp14:anchorId="1357188F" wp14:editId="0F55EE68">
            <wp:extent cx="5760720" cy="3780155"/>
            <wp:effectExtent l="0" t="0" r="11430" b="10795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B3E18" w:rsidRPr="002A608B" w:rsidRDefault="00EB3E18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B3E18" w:rsidRPr="002A608B" w:rsidRDefault="00EB3E18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683FAA" w:rsidRPr="002A608B" w:rsidRDefault="00683FAA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AE507C" w:rsidRPr="002A608B" w:rsidRDefault="00AE507C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7C6B70" w:rsidRPr="00151121" w:rsidRDefault="008A5975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b/>
          <w:sz w:val="28"/>
          <w:szCs w:val="28"/>
          <w:u w:val="single"/>
          <w:lang w:eastAsia="de-DE"/>
        </w:rPr>
      </w:pPr>
      <w:r w:rsidRPr="00151121">
        <w:rPr>
          <w:rFonts w:ascii="Arial" w:eastAsia="Arial Unicode MS" w:hAnsi="Arial" w:cs="Arial"/>
          <w:b/>
          <w:kern w:val="24"/>
          <w:sz w:val="28"/>
          <w:szCs w:val="28"/>
          <w:u w:val="single"/>
        </w:rPr>
        <w:t>Demografischer Wandel</w:t>
      </w:r>
    </w:p>
    <w:p w:rsidR="007C6B70" w:rsidRPr="002A608B" w:rsidRDefault="007C6B7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8A5975" w:rsidRPr="002A608B" w:rsidRDefault="004C39A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noProof/>
          <w:sz w:val="24"/>
          <w:szCs w:val="24"/>
          <w:lang w:eastAsia="de-DE"/>
        </w:rPr>
        <w:drawing>
          <wp:inline distT="0" distB="0" distL="0" distR="0" wp14:anchorId="6EA7D80E" wp14:editId="38188DD8">
            <wp:extent cx="5760720" cy="3594100"/>
            <wp:effectExtent l="0" t="0" r="11430" b="6350"/>
            <wp:docPr id="14" name="Diagramm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C39A0" w:rsidRPr="002A608B" w:rsidRDefault="004C39A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4C39A0" w:rsidRPr="002A608B" w:rsidRDefault="00932373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noProof/>
          <w:sz w:val="24"/>
          <w:szCs w:val="24"/>
          <w:lang w:eastAsia="de-DE"/>
        </w:rPr>
        <w:drawing>
          <wp:inline distT="0" distB="0" distL="0" distR="0" wp14:anchorId="21065B95" wp14:editId="0BF41AE1">
            <wp:extent cx="5760720" cy="3295650"/>
            <wp:effectExtent l="0" t="0" r="11430" b="0"/>
            <wp:docPr id="16" name="Diagram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32373" w:rsidRPr="002A608B" w:rsidRDefault="00932373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2263CE" w:rsidRDefault="002263CE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683FAA" w:rsidRDefault="00683FAA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683FAA" w:rsidRDefault="00683FAA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683FAA" w:rsidRDefault="00683FAA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711778" w:rsidRDefault="00711778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683FAA" w:rsidRPr="002A608B" w:rsidRDefault="00683FAA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932373" w:rsidRPr="002A608B" w:rsidRDefault="00155275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noProof/>
          <w:sz w:val="24"/>
          <w:szCs w:val="24"/>
          <w:lang w:eastAsia="de-DE"/>
        </w:rPr>
        <w:drawing>
          <wp:inline distT="0" distB="0" distL="0" distR="0" wp14:anchorId="2EB7E29C" wp14:editId="5F7D4F57">
            <wp:extent cx="5760720" cy="3665855"/>
            <wp:effectExtent l="0" t="0" r="11430" b="10795"/>
            <wp:docPr id="22" name="Diagramm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A5975" w:rsidRPr="002A608B" w:rsidRDefault="008A5975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7C6B70" w:rsidRPr="002A608B" w:rsidRDefault="007C6B7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D2350" w:rsidRDefault="00ED235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7C6B70" w:rsidRPr="00ED2350" w:rsidRDefault="007C6B7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b/>
          <w:kern w:val="24"/>
          <w:sz w:val="28"/>
          <w:szCs w:val="28"/>
          <w:u w:val="single"/>
        </w:rPr>
      </w:pPr>
      <w:r w:rsidRPr="00ED2350">
        <w:rPr>
          <w:rFonts w:ascii="Arial" w:eastAsia="Arial Unicode MS" w:hAnsi="Arial" w:cs="Arial"/>
          <w:b/>
          <w:kern w:val="24"/>
          <w:sz w:val="28"/>
          <w:szCs w:val="28"/>
          <w:u w:val="single"/>
        </w:rPr>
        <w:t>Urbanisierung der Bevölkerung</w:t>
      </w:r>
    </w:p>
    <w:p w:rsidR="00ED2350" w:rsidRDefault="00ED2350" w:rsidP="002A608B">
      <w:pPr>
        <w:spacing w:after="200" w:line="276" w:lineRule="auto"/>
        <w:textAlignment w:val="baseline"/>
        <w:rPr>
          <w:rFonts w:ascii="Arial" w:eastAsia="Arial Unicode MS" w:hAnsi="Arial" w:cs="Arial"/>
          <w:kern w:val="24"/>
          <w:sz w:val="24"/>
          <w:szCs w:val="24"/>
          <w:u w:val="single"/>
          <w:lang w:eastAsia="de-DE"/>
        </w:rPr>
      </w:pPr>
    </w:p>
    <w:p w:rsidR="007C6B70" w:rsidRPr="002A608B" w:rsidRDefault="007C6B70" w:rsidP="002A608B">
      <w:pPr>
        <w:spacing w:after="200" w:line="276" w:lineRule="auto"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kern w:val="24"/>
          <w:sz w:val="24"/>
          <w:szCs w:val="24"/>
          <w:u w:val="single"/>
          <w:lang w:eastAsia="de-DE"/>
        </w:rPr>
        <w:t>Definition</w:t>
      </w:r>
    </w:p>
    <w:p w:rsidR="007C6B70" w:rsidRPr="002A608B" w:rsidRDefault="007C6B70" w:rsidP="002A608B">
      <w:pPr>
        <w:spacing w:after="200" w:line="276" w:lineRule="auto"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kern w:val="24"/>
          <w:sz w:val="24"/>
          <w:szCs w:val="24"/>
          <w:lang w:eastAsia="de-DE"/>
        </w:rPr>
        <w:t xml:space="preserve">Unter Urbanisierung (lateinisch </w:t>
      </w:r>
      <w:proofErr w:type="spellStart"/>
      <w:r w:rsidRPr="002A608B">
        <w:rPr>
          <w:rFonts w:ascii="Arial" w:eastAsia="Arial Unicode MS" w:hAnsi="Arial" w:cs="Arial"/>
          <w:kern w:val="24"/>
          <w:sz w:val="24"/>
          <w:szCs w:val="24"/>
          <w:lang w:eastAsia="de-DE"/>
        </w:rPr>
        <w:t>urbs</w:t>
      </w:r>
      <w:proofErr w:type="spellEnd"/>
      <w:r w:rsidRPr="002A608B">
        <w:rPr>
          <w:rFonts w:ascii="Arial" w:eastAsia="Arial Unicode MS" w:hAnsi="Arial" w:cs="Arial"/>
          <w:kern w:val="24"/>
          <w:sz w:val="24"/>
          <w:szCs w:val="24"/>
          <w:lang w:eastAsia="de-DE"/>
        </w:rPr>
        <w:t xml:space="preserve"> „Stadt“) oder Verstädterung versteht man die Ausbreitung städtischer Lebensformen. Diese kann sich einerseits im Wachstum von Städten ausdrücken (physische Urbanisierung), andererseits durch verändertes Verhalten der Bewohner von ländlichen Gebieten (funktionale Urbanisierung).</w:t>
      </w:r>
    </w:p>
    <w:p w:rsidR="007C6B70" w:rsidRPr="002A608B" w:rsidRDefault="007C6B70" w:rsidP="002A608B">
      <w:pPr>
        <w:spacing w:after="200" w:line="276" w:lineRule="auto"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kern w:val="24"/>
          <w:sz w:val="24"/>
          <w:szCs w:val="24"/>
          <w:lang w:eastAsia="de-DE"/>
        </w:rPr>
        <w:t>Quelle: http://de.wikipedia.org/wiki/Urbanisierung</w:t>
      </w:r>
    </w:p>
    <w:p w:rsidR="007C6B70" w:rsidRPr="002A608B" w:rsidRDefault="007C6B7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7C6B70" w:rsidRPr="002A608B" w:rsidRDefault="007C6B7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7C6B70" w:rsidRPr="002A608B" w:rsidRDefault="00846B93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  <w:r w:rsidRPr="002A608B">
        <w:rPr>
          <w:rFonts w:ascii="Arial" w:eastAsia="Arial Unicode MS" w:hAnsi="Arial" w:cs="Arial"/>
          <w:noProof/>
          <w:sz w:val="24"/>
          <w:szCs w:val="24"/>
          <w:lang w:eastAsia="de-DE"/>
        </w:rPr>
        <w:drawing>
          <wp:inline distT="0" distB="0" distL="0" distR="0" wp14:anchorId="6559A02F" wp14:editId="3A631446">
            <wp:extent cx="5760720" cy="3714115"/>
            <wp:effectExtent l="0" t="0" r="11430" b="635"/>
            <wp:docPr id="13" name="Diagramm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46B93" w:rsidRDefault="00846B93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7C6B70" w:rsidRPr="002A608B" w:rsidRDefault="007C6B70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6D73AC" w:rsidRDefault="00B9363B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noProof/>
          <w:sz w:val="24"/>
          <w:szCs w:val="24"/>
          <w:lang w:eastAsia="de-DE"/>
        </w:rPr>
        <w:drawing>
          <wp:inline distT="0" distB="0" distL="0" distR="0" wp14:anchorId="060D9C2C" wp14:editId="532CF62F">
            <wp:extent cx="5044440" cy="3402330"/>
            <wp:effectExtent l="0" t="0" r="3810" b="7620"/>
            <wp:docPr id="173058" name="Diagramm 1730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D6152" w:rsidRDefault="002D615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D04D56" w:rsidRPr="00151121" w:rsidRDefault="00711778" w:rsidP="00D04D56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b/>
          <w:sz w:val="28"/>
          <w:szCs w:val="28"/>
          <w:u w:val="single"/>
          <w:lang w:eastAsia="de-DE"/>
        </w:rPr>
      </w:pPr>
      <w:r>
        <w:rPr>
          <w:rFonts w:ascii="Arial" w:eastAsia="Arial Unicode MS" w:hAnsi="Arial" w:cs="Arial"/>
          <w:b/>
          <w:kern w:val="24"/>
          <w:sz w:val="28"/>
          <w:szCs w:val="28"/>
          <w:u w:val="single"/>
        </w:rPr>
        <w:t xml:space="preserve">Entwicklung und prozentualer Anteil am </w:t>
      </w:r>
      <w:r w:rsidR="00D04D56">
        <w:rPr>
          <w:rFonts w:ascii="Arial" w:eastAsia="Arial Unicode MS" w:hAnsi="Arial" w:cs="Arial"/>
          <w:b/>
          <w:kern w:val="24"/>
          <w:sz w:val="28"/>
          <w:szCs w:val="28"/>
          <w:u w:val="single"/>
        </w:rPr>
        <w:t>CO</w:t>
      </w:r>
      <w:r w:rsidR="00D04D56" w:rsidRPr="00711778">
        <w:rPr>
          <w:rFonts w:ascii="Arial" w:eastAsia="Arial Unicode MS" w:hAnsi="Arial" w:cs="Arial"/>
          <w:b/>
          <w:kern w:val="24"/>
          <w:sz w:val="28"/>
          <w:szCs w:val="28"/>
          <w:u w:val="single"/>
          <w:vertAlign w:val="subscript"/>
        </w:rPr>
        <w:t>2</w:t>
      </w:r>
      <w:r w:rsidR="00D04D56">
        <w:rPr>
          <w:rFonts w:ascii="Arial" w:eastAsia="Arial Unicode MS" w:hAnsi="Arial" w:cs="Arial"/>
          <w:b/>
          <w:kern w:val="24"/>
          <w:sz w:val="28"/>
          <w:szCs w:val="28"/>
          <w:u w:val="single"/>
        </w:rPr>
        <w:t>-Ausstoß</w:t>
      </w: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Pr="002A608B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6D73AC" w:rsidRPr="002A608B" w:rsidRDefault="00BB310A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noProof/>
          <w:sz w:val="24"/>
          <w:szCs w:val="24"/>
          <w:lang w:eastAsia="de-DE"/>
        </w:rPr>
        <w:drawing>
          <wp:inline distT="0" distB="0" distL="0" distR="0" wp14:anchorId="7EED5DBC" wp14:editId="7331EE61">
            <wp:extent cx="5760720" cy="3425825"/>
            <wp:effectExtent l="0" t="0" r="11430" b="3175"/>
            <wp:docPr id="28673" name="Diagramm 286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41BC1" w:rsidRPr="002A608B" w:rsidRDefault="00941BC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941BC1" w:rsidRDefault="00941BC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Pr="002A608B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C0BAB" w:rsidRPr="002A608B" w:rsidRDefault="00EC0BAB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  <w:r w:rsidRPr="002A608B">
        <w:rPr>
          <w:rFonts w:ascii="Arial" w:eastAsia="Arial Unicode MS" w:hAnsi="Arial" w:cs="Arial"/>
          <w:noProof/>
          <w:sz w:val="24"/>
          <w:szCs w:val="24"/>
          <w:lang w:eastAsia="de-DE"/>
        </w:rPr>
        <w:drawing>
          <wp:inline distT="0" distB="0" distL="0" distR="0" wp14:anchorId="5D92ED75" wp14:editId="68AC82D5">
            <wp:extent cx="5760720" cy="6543040"/>
            <wp:effectExtent l="0" t="0" r="11430" b="10160"/>
            <wp:docPr id="28674" name="Diagramm 286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C0BAB" w:rsidRPr="002A608B" w:rsidRDefault="00EC0BAB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C0BAB" w:rsidRPr="002A608B" w:rsidRDefault="00EC0BAB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EE6632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151121" w:rsidRPr="002A608B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sz w:val="24"/>
          <w:szCs w:val="24"/>
          <w:lang w:eastAsia="de-DE"/>
        </w:rPr>
      </w:pPr>
    </w:p>
    <w:p w:rsidR="00C96965" w:rsidRPr="002A608B" w:rsidRDefault="00C96965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  <w:r w:rsidRPr="002A608B">
        <w:rPr>
          <w:rFonts w:ascii="Arial" w:eastAsia="Arial Unicode MS" w:hAnsi="Arial" w:cs="Arial"/>
          <w:noProof/>
          <w:sz w:val="24"/>
          <w:szCs w:val="24"/>
          <w:lang w:eastAsia="de-DE"/>
        </w:rPr>
        <w:drawing>
          <wp:inline distT="0" distB="0" distL="0" distR="0" wp14:anchorId="3D2423B5" wp14:editId="2E7ABA09">
            <wp:extent cx="5760720" cy="3772535"/>
            <wp:effectExtent l="0" t="0" r="11430" b="18415"/>
            <wp:docPr id="28675" name="Diagramm 286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96965" w:rsidRPr="002A608B" w:rsidRDefault="00C96965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EE6632" w:rsidRPr="002A608B" w:rsidRDefault="00EE6632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p w:rsidR="00151121" w:rsidRDefault="00151121" w:rsidP="002A608B">
      <w:pPr>
        <w:kinsoku w:val="0"/>
        <w:overflowPunct w:val="0"/>
        <w:spacing w:after="200" w:line="276" w:lineRule="auto"/>
        <w:contextualSpacing/>
        <w:textAlignment w:val="baseline"/>
        <w:rPr>
          <w:rFonts w:ascii="Arial" w:eastAsia="Arial Unicode MS" w:hAnsi="Arial" w:cs="Arial"/>
          <w:kern w:val="24"/>
          <w:sz w:val="24"/>
          <w:szCs w:val="24"/>
        </w:rPr>
      </w:pPr>
    </w:p>
    <w:sectPr w:rsidR="00151121">
      <w:head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D55" w:rsidRDefault="00DD3D55" w:rsidP="002A608B">
      <w:pPr>
        <w:spacing w:after="0" w:line="240" w:lineRule="auto"/>
      </w:pPr>
      <w:r>
        <w:separator/>
      </w:r>
    </w:p>
  </w:endnote>
  <w:endnote w:type="continuationSeparator" w:id="0">
    <w:p w:rsidR="00DD3D55" w:rsidRDefault="00DD3D55" w:rsidP="002A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 PL KaitiM GB"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C4E" w:rsidRDefault="00D72C4E" w:rsidP="00112E27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D72C4E" w:rsidRDefault="00D72C4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C4E" w:rsidRDefault="00D72C4E" w:rsidP="00112E27">
    <w:pPr>
      <w:pStyle w:val="Fuzeile"/>
      <w:framePr w:wrap="around" w:vAnchor="text" w:hAnchor="margin" w:xAlign="center" w:y="1"/>
      <w:rPr>
        <w:rStyle w:val="Seitenzahl"/>
      </w:rPr>
    </w:pPr>
  </w:p>
  <w:p w:rsidR="00D72C4E" w:rsidRDefault="00D72C4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D55" w:rsidRDefault="00DD3D55" w:rsidP="002A608B">
      <w:pPr>
        <w:spacing w:after="0" w:line="240" w:lineRule="auto"/>
      </w:pPr>
      <w:r>
        <w:separator/>
      </w:r>
    </w:p>
  </w:footnote>
  <w:footnote w:type="continuationSeparator" w:id="0">
    <w:p w:rsidR="00DD3D55" w:rsidRDefault="00DD3D55" w:rsidP="002A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C4E" w:rsidRDefault="00D72C4E" w:rsidP="00E0553A">
    <w:pPr>
      <w:pStyle w:val="Kopfzeile"/>
    </w:pPr>
    <w:r>
      <w:t xml:space="preserve">Lehrplannavigator NRW </w:t>
    </w:r>
    <w:proofErr w:type="spellStart"/>
    <w:r>
      <w:t>GOSt</w:t>
    </w:r>
    <w:proofErr w:type="spellEnd"/>
    <w:r>
      <w:t xml:space="preserve"> Technik</w:t>
    </w:r>
    <w:r>
      <w:tab/>
    </w:r>
    <w:r w:rsidR="00BD6598">
      <w:tab/>
      <w:t>Elektromobilität und Verkehr</w:t>
    </w:r>
  </w:p>
  <w:p w:rsidR="00D72C4E" w:rsidRDefault="00D72C4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C4E" w:rsidRDefault="00D72C4E" w:rsidP="00D72C4E">
    <w:pPr>
      <w:pStyle w:val="Kopfzeile"/>
    </w:pPr>
    <w:r>
      <w:t xml:space="preserve">Lehrplannavigator NRW </w:t>
    </w:r>
    <w:proofErr w:type="spellStart"/>
    <w:r>
      <w:t>GOSt</w:t>
    </w:r>
    <w:proofErr w:type="spellEnd"/>
    <w:r>
      <w:t xml:space="preserve"> Technik</w:t>
    </w:r>
    <w:r>
      <w:tab/>
    </w:r>
    <w:r w:rsidR="00AE507C">
      <w:tab/>
      <w:t>Elektromobilität und Verkehr</w:t>
    </w:r>
  </w:p>
  <w:p w:rsidR="002A608B" w:rsidRPr="00D72C4E" w:rsidRDefault="002A608B" w:rsidP="00D72C4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6184B"/>
    <w:multiLevelType w:val="hybridMultilevel"/>
    <w:tmpl w:val="77B83E30"/>
    <w:lvl w:ilvl="0" w:tplc="0462A5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206A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F6510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C250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CD8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2C35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341D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6E8EB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D2BF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E4029"/>
    <w:multiLevelType w:val="hybridMultilevel"/>
    <w:tmpl w:val="5766745C"/>
    <w:lvl w:ilvl="0" w:tplc="89F276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DE3AF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56FA6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10CE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EC3FD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9CD56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8CF0C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BF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4E82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F0F96"/>
    <w:multiLevelType w:val="hybridMultilevel"/>
    <w:tmpl w:val="46546F3C"/>
    <w:lvl w:ilvl="0" w:tplc="C20CE2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0C954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5C880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D43B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67A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0CE2F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22A08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2692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069D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33C7F"/>
    <w:multiLevelType w:val="hybridMultilevel"/>
    <w:tmpl w:val="2C6C703E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AD62C4A"/>
    <w:multiLevelType w:val="hybridMultilevel"/>
    <w:tmpl w:val="DE3E773A"/>
    <w:lvl w:ilvl="0" w:tplc="8FAE8CF4">
      <w:start w:val="5"/>
      <w:numFmt w:val="bullet"/>
      <w:lvlText w:val=""/>
      <w:lvlJc w:val="left"/>
      <w:pPr>
        <w:ind w:left="720" w:hanging="360"/>
      </w:pPr>
      <w:rPr>
        <w:rFonts w:ascii="Wingdings" w:eastAsiaTheme="majorEastAsia" w:hAnsi="Wingdings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26984"/>
    <w:multiLevelType w:val="hybridMultilevel"/>
    <w:tmpl w:val="9B58FC42"/>
    <w:lvl w:ilvl="0" w:tplc="19EA81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3208A2">
      <w:start w:val="5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A20E7C">
      <w:start w:val="55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5A65B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D401A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90B8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EA5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68F0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F23CB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9462E"/>
    <w:multiLevelType w:val="hybridMultilevel"/>
    <w:tmpl w:val="2F2AE094"/>
    <w:lvl w:ilvl="0" w:tplc="11EAB13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70B0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0E26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4857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E8776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54F0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AC41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62F9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668F2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001D0"/>
    <w:multiLevelType w:val="hybridMultilevel"/>
    <w:tmpl w:val="8EE8FFDC"/>
    <w:lvl w:ilvl="0" w:tplc="3870A5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A6A4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4EFB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FABDC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0AC0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9424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28AE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C481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FA40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71C97"/>
    <w:multiLevelType w:val="hybridMultilevel"/>
    <w:tmpl w:val="18B8B20E"/>
    <w:lvl w:ilvl="0" w:tplc="51022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BA42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CC63E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1028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BC3B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C456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BA54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52A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424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FA7C2B"/>
    <w:multiLevelType w:val="hybridMultilevel"/>
    <w:tmpl w:val="982C5072"/>
    <w:lvl w:ilvl="0" w:tplc="87CE73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2BF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76EA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309F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942E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22CBA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9845F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5CEF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7217A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C4C02"/>
    <w:multiLevelType w:val="hybridMultilevel"/>
    <w:tmpl w:val="FE849A9A"/>
    <w:lvl w:ilvl="0" w:tplc="977038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C2039"/>
    <w:multiLevelType w:val="hybridMultilevel"/>
    <w:tmpl w:val="C06C6F32"/>
    <w:lvl w:ilvl="0" w:tplc="2E782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7A2C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9CB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4209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8C0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20FA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E200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DCA2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E6E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6F46C5"/>
    <w:multiLevelType w:val="hybridMultilevel"/>
    <w:tmpl w:val="85B269D8"/>
    <w:lvl w:ilvl="0" w:tplc="055CFC1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A53A6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96271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E8B9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BA1A8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DAEF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36D9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AC48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9623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5120B6"/>
    <w:multiLevelType w:val="hybridMultilevel"/>
    <w:tmpl w:val="55B20710"/>
    <w:lvl w:ilvl="0" w:tplc="5ED48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7C98B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F4CBB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964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4EF8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6EB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C48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DCC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E0F4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E963C5"/>
    <w:multiLevelType w:val="hybridMultilevel"/>
    <w:tmpl w:val="5FE41982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50546FC7"/>
    <w:multiLevelType w:val="hybridMultilevel"/>
    <w:tmpl w:val="0DEEAF7E"/>
    <w:lvl w:ilvl="0" w:tplc="127A282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E287F4">
      <w:start w:val="8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528B0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86A0B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006CE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5E8F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808C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349E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168E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A14BE"/>
    <w:multiLevelType w:val="hybridMultilevel"/>
    <w:tmpl w:val="55C041A2"/>
    <w:lvl w:ilvl="0" w:tplc="D5329F64">
      <w:start w:val="10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B396C"/>
    <w:multiLevelType w:val="hybridMultilevel"/>
    <w:tmpl w:val="4A74C63C"/>
    <w:lvl w:ilvl="0" w:tplc="A33840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1EC246">
      <w:start w:val="5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BA18CA">
      <w:start w:val="55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7C8E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5A6D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AA8C8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7E1D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DC437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C06AE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56AEE"/>
    <w:multiLevelType w:val="hybridMultilevel"/>
    <w:tmpl w:val="0CF6BCE4"/>
    <w:lvl w:ilvl="0" w:tplc="1C5691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E2FA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0C69F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243B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3EBB6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8E69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029A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1832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E65F3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420B9"/>
    <w:multiLevelType w:val="hybridMultilevel"/>
    <w:tmpl w:val="3EA464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70B11"/>
    <w:multiLevelType w:val="hybridMultilevel"/>
    <w:tmpl w:val="94027B36"/>
    <w:lvl w:ilvl="0" w:tplc="6986B2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3C11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5CB0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0C4C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D26F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A8FB4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4696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0C58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B2D2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27DC8"/>
    <w:multiLevelType w:val="hybridMultilevel"/>
    <w:tmpl w:val="8410E8C6"/>
    <w:lvl w:ilvl="0" w:tplc="89ECA4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640A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2C868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F2C4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263E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FE3E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4E70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2606B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8AEEB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D67BC"/>
    <w:multiLevelType w:val="hybridMultilevel"/>
    <w:tmpl w:val="A40A8024"/>
    <w:lvl w:ilvl="0" w:tplc="6958BC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344EB4">
      <w:start w:val="5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1CE4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0892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3E77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427A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78962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8EC68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EACE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D234A9"/>
    <w:multiLevelType w:val="hybridMultilevel"/>
    <w:tmpl w:val="0DE2DDE8"/>
    <w:lvl w:ilvl="0" w:tplc="8642F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77482"/>
    <w:multiLevelType w:val="hybridMultilevel"/>
    <w:tmpl w:val="F58E0F92"/>
    <w:lvl w:ilvl="0" w:tplc="AE22F53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004DE0">
      <w:start w:val="89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5429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4ED3F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164B9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560E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A8DE9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188AF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384C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45CDA"/>
    <w:multiLevelType w:val="hybridMultilevel"/>
    <w:tmpl w:val="DEF87496"/>
    <w:lvl w:ilvl="0" w:tplc="2722C1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766806">
      <w:start w:val="53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FC5C2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9A86F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9675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BAACE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C8D5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A04A3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E8AC1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33C3A"/>
    <w:multiLevelType w:val="hybridMultilevel"/>
    <w:tmpl w:val="68BEB93A"/>
    <w:lvl w:ilvl="0" w:tplc="83F02E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7217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2E9B8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EA93E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AA09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96D96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5464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9821A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AA37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9D30C5"/>
    <w:multiLevelType w:val="hybridMultilevel"/>
    <w:tmpl w:val="8D7EC77E"/>
    <w:lvl w:ilvl="0" w:tplc="B0729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D017F"/>
    <w:multiLevelType w:val="hybridMultilevel"/>
    <w:tmpl w:val="0FA81578"/>
    <w:lvl w:ilvl="0" w:tplc="DD86FE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6B3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C603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3070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701C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7209F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8A22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62A7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A214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21"/>
  </w:num>
  <w:num w:numId="4">
    <w:abstractNumId w:val="12"/>
  </w:num>
  <w:num w:numId="5">
    <w:abstractNumId w:val="24"/>
  </w:num>
  <w:num w:numId="6">
    <w:abstractNumId w:val="15"/>
  </w:num>
  <w:num w:numId="7">
    <w:abstractNumId w:val="18"/>
  </w:num>
  <w:num w:numId="8">
    <w:abstractNumId w:val="26"/>
  </w:num>
  <w:num w:numId="9">
    <w:abstractNumId w:val="7"/>
  </w:num>
  <w:num w:numId="10">
    <w:abstractNumId w:val="19"/>
  </w:num>
  <w:num w:numId="11">
    <w:abstractNumId w:val="9"/>
  </w:num>
  <w:num w:numId="12">
    <w:abstractNumId w:val="4"/>
  </w:num>
  <w:num w:numId="13">
    <w:abstractNumId w:val="6"/>
  </w:num>
  <w:num w:numId="14">
    <w:abstractNumId w:val="2"/>
  </w:num>
  <w:num w:numId="15">
    <w:abstractNumId w:val="20"/>
  </w:num>
  <w:num w:numId="16">
    <w:abstractNumId w:val="17"/>
  </w:num>
  <w:num w:numId="17">
    <w:abstractNumId w:val="5"/>
  </w:num>
  <w:num w:numId="18">
    <w:abstractNumId w:val="1"/>
  </w:num>
  <w:num w:numId="19">
    <w:abstractNumId w:val="25"/>
  </w:num>
  <w:num w:numId="20">
    <w:abstractNumId w:val="0"/>
  </w:num>
  <w:num w:numId="21">
    <w:abstractNumId w:val="8"/>
  </w:num>
  <w:num w:numId="22">
    <w:abstractNumId w:val="13"/>
  </w:num>
  <w:num w:numId="23">
    <w:abstractNumId w:val="11"/>
  </w:num>
  <w:num w:numId="24">
    <w:abstractNumId w:val="16"/>
  </w:num>
  <w:num w:numId="25">
    <w:abstractNumId w:val="14"/>
  </w:num>
  <w:num w:numId="26">
    <w:abstractNumId w:val="23"/>
  </w:num>
  <w:num w:numId="27">
    <w:abstractNumId w:val="27"/>
  </w:num>
  <w:num w:numId="28">
    <w:abstractNumId w:val="10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D3"/>
    <w:rsid w:val="000037A0"/>
    <w:rsid w:val="00005937"/>
    <w:rsid w:val="0003329C"/>
    <w:rsid w:val="00034403"/>
    <w:rsid w:val="00060903"/>
    <w:rsid w:val="00062A8F"/>
    <w:rsid w:val="0006582F"/>
    <w:rsid w:val="00070E18"/>
    <w:rsid w:val="0007476A"/>
    <w:rsid w:val="000776FC"/>
    <w:rsid w:val="00081FDD"/>
    <w:rsid w:val="000848C9"/>
    <w:rsid w:val="000A09D5"/>
    <w:rsid w:val="000A60FB"/>
    <w:rsid w:val="000A7A3E"/>
    <w:rsid w:val="000B4F32"/>
    <w:rsid w:val="000C2388"/>
    <w:rsid w:val="000C6E31"/>
    <w:rsid w:val="000C7FA6"/>
    <w:rsid w:val="000D214C"/>
    <w:rsid w:val="000E2F87"/>
    <w:rsid w:val="00103C3F"/>
    <w:rsid w:val="00110230"/>
    <w:rsid w:val="001237AD"/>
    <w:rsid w:val="00151121"/>
    <w:rsid w:val="00155275"/>
    <w:rsid w:val="001604D9"/>
    <w:rsid w:val="0019178A"/>
    <w:rsid w:val="001A3BE3"/>
    <w:rsid w:val="001D0B7F"/>
    <w:rsid w:val="001E0E3F"/>
    <w:rsid w:val="001F5019"/>
    <w:rsid w:val="002017D7"/>
    <w:rsid w:val="00204624"/>
    <w:rsid w:val="002263CE"/>
    <w:rsid w:val="002321BC"/>
    <w:rsid w:val="00232CA0"/>
    <w:rsid w:val="002376F4"/>
    <w:rsid w:val="00246D70"/>
    <w:rsid w:val="002609C9"/>
    <w:rsid w:val="00261E8D"/>
    <w:rsid w:val="00264BAC"/>
    <w:rsid w:val="00276FFE"/>
    <w:rsid w:val="0028114C"/>
    <w:rsid w:val="0028307F"/>
    <w:rsid w:val="00283D19"/>
    <w:rsid w:val="00292CBA"/>
    <w:rsid w:val="002A608B"/>
    <w:rsid w:val="002C3F14"/>
    <w:rsid w:val="002C55A2"/>
    <w:rsid w:val="002D6152"/>
    <w:rsid w:val="002E70D7"/>
    <w:rsid w:val="0030331D"/>
    <w:rsid w:val="0030579D"/>
    <w:rsid w:val="00314495"/>
    <w:rsid w:val="00326FD7"/>
    <w:rsid w:val="00330A38"/>
    <w:rsid w:val="00337692"/>
    <w:rsid w:val="003603B9"/>
    <w:rsid w:val="003976D7"/>
    <w:rsid w:val="003B2452"/>
    <w:rsid w:val="003C5B10"/>
    <w:rsid w:val="003E337A"/>
    <w:rsid w:val="003E7628"/>
    <w:rsid w:val="003F1D47"/>
    <w:rsid w:val="003F1FA7"/>
    <w:rsid w:val="00420720"/>
    <w:rsid w:val="00430514"/>
    <w:rsid w:val="00432B80"/>
    <w:rsid w:val="004429D6"/>
    <w:rsid w:val="00446478"/>
    <w:rsid w:val="004519C6"/>
    <w:rsid w:val="00452D6A"/>
    <w:rsid w:val="004700C3"/>
    <w:rsid w:val="004853E1"/>
    <w:rsid w:val="00486C80"/>
    <w:rsid w:val="004875D7"/>
    <w:rsid w:val="0049274F"/>
    <w:rsid w:val="004C2D53"/>
    <w:rsid w:val="004C39A0"/>
    <w:rsid w:val="004C5B06"/>
    <w:rsid w:val="004E22E4"/>
    <w:rsid w:val="004E6DC1"/>
    <w:rsid w:val="004F0EAF"/>
    <w:rsid w:val="00507A63"/>
    <w:rsid w:val="00524319"/>
    <w:rsid w:val="00542C87"/>
    <w:rsid w:val="00550607"/>
    <w:rsid w:val="005520A9"/>
    <w:rsid w:val="00552B13"/>
    <w:rsid w:val="00582911"/>
    <w:rsid w:val="0059324E"/>
    <w:rsid w:val="005A4B24"/>
    <w:rsid w:val="005D7CB7"/>
    <w:rsid w:val="006541B8"/>
    <w:rsid w:val="006562E8"/>
    <w:rsid w:val="006604D4"/>
    <w:rsid w:val="00663FAA"/>
    <w:rsid w:val="00674F33"/>
    <w:rsid w:val="00683FAA"/>
    <w:rsid w:val="00695009"/>
    <w:rsid w:val="006A23AE"/>
    <w:rsid w:val="006C1EA4"/>
    <w:rsid w:val="006D02B1"/>
    <w:rsid w:val="006D73AC"/>
    <w:rsid w:val="006E4930"/>
    <w:rsid w:val="006E554C"/>
    <w:rsid w:val="006E6CD3"/>
    <w:rsid w:val="00706CA8"/>
    <w:rsid w:val="00711778"/>
    <w:rsid w:val="007155B8"/>
    <w:rsid w:val="00715DDB"/>
    <w:rsid w:val="00724021"/>
    <w:rsid w:val="00726DE5"/>
    <w:rsid w:val="00746FD2"/>
    <w:rsid w:val="00761D24"/>
    <w:rsid w:val="00775C68"/>
    <w:rsid w:val="00784622"/>
    <w:rsid w:val="00785FA1"/>
    <w:rsid w:val="007B0C92"/>
    <w:rsid w:val="007C6B70"/>
    <w:rsid w:val="007D4465"/>
    <w:rsid w:val="007F3B34"/>
    <w:rsid w:val="008064E9"/>
    <w:rsid w:val="0081328D"/>
    <w:rsid w:val="00816035"/>
    <w:rsid w:val="00822443"/>
    <w:rsid w:val="008333D2"/>
    <w:rsid w:val="00833C32"/>
    <w:rsid w:val="00842B04"/>
    <w:rsid w:val="00846B93"/>
    <w:rsid w:val="008672B8"/>
    <w:rsid w:val="0089406C"/>
    <w:rsid w:val="00894CA9"/>
    <w:rsid w:val="00896DF2"/>
    <w:rsid w:val="008A5975"/>
    <w:rsid w:val="008B3BFA"/>
    <w:rsid w:val="008D3ED3"/>
    <w:rsid w:val="008D7DF9"/>
    <w:rsid w:val="008E45EC"/>
    <w:rsid w:val="008E5C64"/>
    <w:rsid w:val="008F6A66"/>
    <w:rsid w:val="00905A4B"/>
    <w:rsid w:val="009137E0"/>
    <w:rsid w:val="00932373"/>
    <w:rsid w:val="00934A5A"/>
    <w:rsid w:val="0094131D"/>
    <w:rsid w:val="00941BC1"/>
    <w:rsid w:val="00954C21"/>
    <w:rsid w:val="0097529A"/>
    <w:rsid w:val="00995156"/>
    <w:rsid w:val="009A32CF"/>
    <w:rsid w:val="009B009D"/>
    <w:rsid w:val="009B6F32"/>
    <w:rsid w:val="009B6FFE"/>
    <w:rsid w:val="009E0D32"/>
    <w:rsid w:val="00A37547"/>
    <w:rsid w:val="00A46AA0"/>
    <w:rsid w:val="00A56D14"/>
    <w:rsid w:val="00A744E4"/>
    <w:rsid w:val="00A76F55"/>
    <w:rsid w:val="00A81AC8"/>
    <w:rsid w:val="00A859CA"/>
    <w:rsid w:val="00AD196F"/>
    <w:rsid w:val="00AD636B"/>
    <w:rsid w:val="00AE10B0"/>
    <w:rsid w:val="00AE507C"/>
    <w:rsid w:val="00AF2C35"/>
    <w:rsid w:val="00AF56A3"/>
    <w:rsid w:val="00B06B44"/>
    <w:rsid w:val="00B31FA9"/>
    <w:rsid w:val="00B8464A"/>
    <w:rsid w:val="00B85FD6"/>
    <w:rsid w:val="00B9363B"/>
    <w:rsid w:val="00B966B2"/>
    <w:rsid w:val="00BA04C6"/>
    <w:rsid w:val="00BA614D"/>
    <w:rsid w:val="00BB310A"/>
    <w:rsid w:val="00BB4615"/>
    <w:rsid w:val="00BC1ED2"/>
    <w:rsid w:val="00BC667E"/>
    <w:rsid w:val="00BD0F2B"/>
    <w:rsid w:val="00BD6598"/>
    <w:rsid w:val="00BE3677"/>
    <w:rsid w:val="00C35E2D"/>
    <w:rsid w:val="00C5419C"/>
    <w:rsid w:val="00C62B42"/>
    <w:rsid w:val="00C62DAE"/>
    <w:rsid w:val="00C67981"/>
    <w:rsid w:val="00C96965"/>
    <w:rsid w:val="00CB0F6A"/>
    <w:rsid w:val="00CC57DA"/>
    <w:rsid w:val="00CC6CBD"/>
    <w:rsid w:val="00CC7A52"/>
    <w:rsid w:val="00CE6C23"/>
    <w:rsid w:val="00CF5E92"/>
    <w:rsid w:val="00D01957"/>
    <w:rsid w:val="00D037B0"/>
    <w:rsid w:val="00D0400D"/>
    <w:rsid w:val="00D042F5"/>
    <w:rsid w:val="00D04324"/>
    <w:rsid w:val="00D04D56"/>
    <w:rsid w:val="00D12082"/>
    <w:rsid w:val="00D12B5C"/>
    <w:rsid w:val="00D22438"/>
    <w:rsid w:val="00D33AD9"/>
    <w:rsid w:val="00D3562D"/>
    <w:rsid w:val="00D67A9F"/>
    <w:rsid w:val="00D72C4E"/>
    <w:rsid w:val="00D808A1"/>
    <w:rsid w:val="00DA3166"/>
    <w:rsid w:val="00DA3287"/>
    <w:rsid w:val="00DA788B"/>
    <w:rsid w:val="00DD3D55"/>
    <w:rsid w:val="00DE209D"/>
    <w:rsid w:val="00E504F2"/>
    <w:rsid w:val="00E53339"/>
    <w:rsid w:val="00E558D9"/>
    <w:rsid w:val="00E65984"/>
    <w:rsid w:val="00E7316A"/>
    <w:rsid w:val="00E7372C"/>
    <w:rsid w:val="00E906E1"/>
    <w:rsid w:val="00E90F29"/>
    <w:rsid w:val="00E97D89"/>
    <w:rsid w:val="00EB3E18"/>
    <w:rsid w:val="00EC0BAB"/>
    <w:rsid w:val="00EC2831"/>
    <w:rsid w:val="00ED2350"/>
    <w:rsid w:val="00ED3A08"/>
    <w:rsid w:val="00EE6632"/>
    <w:rsid w:val="00EF657F"/>
    <w:rsid w:val="00F10909"/>
    <w:rsid w:val="00F11EAE"/>
    <w:rsid w:val="00F125D7"/>
    <w:rsid w:val="00F25679"/>
    <w:rsid w:val="00F26FD7"/>
    <w:rsid w:val="00F30A00"/>
    <w:rsid w:val="00F3146D"/>
    <w:rsid w:val="00F40ADD"/>
    <w:rsid w:val="00F663ED"/>
    <w:rsid w:val="00F916CF"/>
    <w:rsid w:val="00F92896"/>
    <w:rsid w:val="00FB4ECA"/>
    <w:rsid w:val="00FC61CF"/>
    <w:rsid w:val="00FC727B"/>
    <w:rsid w:val="00FE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7B733-8D10-474D-A25F-9D32128A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700C3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qFormat/>
    <w:rsid w:val="006E6CD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E6C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uiPriority w:val="99"/>
    <w:semiHidden/>
    <w:unhideWhenUsed/>
    <w:rsid w:val="006E6CD3"/>
    <w:rPr>
      <w:color w:val="0000FF"/>
      <w:u w:val="single"/>
    </w:rPr>
  </w:style>
  <w:style w:type="paragraph" w:customStyle="1" w:styleId="DecimalAligned">
    <w:name w:val="Decimal Aligned"/>
    <w:basedOn w:val="Standard"/>
    <w:uiPriority w:val="40"/>
    <w:qFormat/>
    <w:rsid w:val="00110230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110230"/>
    <w:pPr>
      <w:spacing w:after="0" w:line="240" w:lineRule="auto"/>
    </w:pPr>
    <w:rPr>
      <w:rFonts w:asciiTheme="minorHAnsi" w:eastAsiaTheme="minorEastAsia" w:hAnsiTheme="minorHAnsi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110230"/>
    <w:rPr>
      <w:rFonts w:asciiTheme="minorHAnsi" w:eastAsiaTheme="minorEastAsia" w:hAnsiTheme="minorHAnsi"/>
    </w:rPr>
  </w:style>
  <w:style w:type="character" w:styleId="SchwacheHervorhebung">
    <w:name w:val="Subtle Emphasis"/>
    <w:basedOn w:val="Absatz-Standardschriftart"/>
    <w:uiPriority w:val="19"/>
    <w:qFormat/>
    <w:rsid w:val="00110230"/>
    <w:rPr>
      <w:i/>
      <w:iCs/>
    </w:rPr>
  </w:style>
  <w:style w:type="table" w:styleId="HelleSchattierung-Akzent1">
    <w:name w:val="Light Shading Accent 1"/>
    <w:basedOn w:val="NormaleTabelle"/>
    <w:uiPriority w:val="60"/>
    <w:rsid w:val="00110230"/>
    <w:rPr>
      <w:rFonts w:asciiTheme="minorHAnsi" w:eastAsiaTheme="minorEastAsia" w:hAnsiTheme="minorHAnsi" w:cstheme="minorBid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abellenraster">
    <w:name w:val="Table Grid"/>
    <w:basedOn w:val="NormaleTabelle"/>
    <w:uiPriority w:val="39"/>
    <w:rsid w:val="001102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A6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608B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2A6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2A608B"/>
    <w:rPr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1D0B7F"/>
    <w:rPr>
      <w:color w:val="808080"/>
    </w:rPr>
  </w:style>
  <w:style w:type="character" w:styleId="Seitenzahl">
    <w:name w:val="page number"/>
    <w:basedOn w:val="Absatz-Standardschriftart"/>
    <w:rsid w:val="00F30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5530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374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719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07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907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477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6602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2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247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3893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444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90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300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495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332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65657">
          <w:marLeft w:val="60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733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8000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613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1801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25774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4551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92479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1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4892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175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9001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68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124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194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29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453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213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426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391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109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5860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4829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6776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591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574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6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082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371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27714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989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34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4113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519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87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028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32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192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346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729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04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238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176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677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2113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852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8043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396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46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3133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74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672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623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4826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911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523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431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285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6236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0287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89621">
          <w:marLeft w:val="288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4680">
          <w:marLeft w:val="288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6053">
          <w:marLeft w:val="288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6972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9785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5226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5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266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566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6407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5969">
          <w:marLeft w:val="60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3931">
          <w:marLeft w:val="60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4083">
          <w:marLeft w:val="60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4858">
          <w:marLeft w:val="605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0331">
          <w:marLeft w:val="36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footer" Target="footer2.xm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ten\Arbeitsordner\Elektromobilit&#228;t_TC_Unterricht_SII_Tabellen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absolute Bevölkerungszahlen</a:t>
            </a:r>
            <a:r>
              <a:rPr lang="en-US" baseline="0"/>
              <a:t> in Mio., </a:t>
            </a:r>
            <a:r>
              <a:rPr lang="en-US"/>
              <a:t>Bevölkerungsentwicklung und Altersstruktur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stacked"/>
        <c:varyColors val="0"/>
        <c:ser>
          <c:idx val="3"/>
          <c:order val="0"/>
          <c:tx>
            <c:strRef>
              <c:f>Tabelle1!$H$1</c:f>
              <c:strCache>
                <c:ptCount val="1"/>
                <c:pt idx="0">
                  <c:v>unter 20 Jahre</c:v>
                </c:pt>
              </c:strCache>
            </c:strRef>
          </c:tx>
          <c:spPr>
            <a:pattFill prst="wdUpDiag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28,4%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30,0%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26,8%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21,7%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21,1%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18,4%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17,0%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16,7%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16,1%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15,6%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15,7%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Tabelle1!$A$2:$A$12</c:f>
              <c:numCache>
                <c:formatCode>General</c:formatCode>
                <c:ptCount val="11"/>
                <c:pt idx="0">
                  <c:v>1960</c:v>
                </c:pt>
                <c:pt idx="1">
                  <c:v>1970</c:v>
                </c:pt>
                <c:pt idx="2">
                  <c:v>1980</c:v>
                </c:pt>
                <c:pt idx="3">
                  <c:v>1990</c:v>
                </c:pt>
                <c:pt idx="4">
                  <c:v>2000</c:v>
                </c:pt>
                <c:pt idx="5">
                  <c:v>2010</c:v>
                </c:pt>
                <c:pt idx="6">
                  <c:v>2020</c:v>
                </c:pt>
                <c:pt idx="7">
                  <c:v>2030</c:v>
                </c:pt>
                <c:pt idx="8">
                  <c:v>2040</c:v>
                </c:pt>
                <c:pt idx="9">
                  <c:v>2050</c:v>
                </c:pt>
                <c:pt idx="10">
                  <c:v>2060</c:v>
                </c:pt>
              </c:numCache>
            </c:numRef>
          </c:cat>
          <c:val>
            <c:numRef>
              <c:f>Tabelle1!$H$2:$H$12</c:f>
              <c:numCache>
                <c:formatCode>0.00</c:formatCode>
                <c:ptCount val="11"/>
                <c:pt idx="0">
                  <c:v>20.760399999999997</c:v>
                </c:pt>
                <c:pt idx="1">
                  <c:v>23.429999999999996</c:v>
                </c:pt>
                <c:pt idx="2">
                  <c:v>21.011200000000002</c:v>
                </c:pt>
                <c:pt idx="3">
                  <c:v>17.316599999999998</c:v>
                </c:pt>
                <c:pt idx="4">
                  <c:v>17.344200000000001</c:v>
                </c:pt>
                <c:pt idx="5">
                  <c:v>15.0512</c:v>
                </c:pt>
                <c:pt idx="6">
                  <c:v>13.668000000000003</c:v>
                </c:pt>
                <c:pt idx="7">
                  <c:v>13.193000000000001</c:v>
                </c:pt>
                <c:pt idx="8">
                  <c:v>12.364800000000001</c:v>
                </c:pt>
                <c:pt idx="9">
                  <c:v>11.481599999999998</c:v>
                </c:pt>
                <c:pt idx="10">
                  <c:v>11.005699999999999</c:v>
                </c:pt>
              </c:numCache>
            </c:numRef>
          </c:val>
        </c:ser>
        <c:ser>
          <c:idx val="2"/>
          <c:order val="1"/>
          <c:tx>
            <c:strRef>
              <c:f>Tabelle1!$F$1</c:f>
              <c:strCache>
                <c:ptCount val="1"/>
                <c:pt idx="0">
                  <c:v>20 bis unter 60 Jahre</c:v>
                </c:pt>
              </c:strCache>
            </c:strRef>
          </c:tx>
          <c:spPr>
            <a:pattFill prst="pct20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50,0%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53,9%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57,9%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55,3%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55,3%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52,4%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47,1%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46,6%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45,5%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45,1%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Tabelle1!$A$2:$A$12</c:f>
              <c:numCache>
                <c:formatCode>General</c:formatCode>
                <c:ptCount val="11"/>
                <c:pt idx="0">
                  <c:v>1960</c:v>
                </c:pt>
                <c:pt idx="1">
                  <c:v>1970</c:v>
                </c:pt>
                <c:pt idx="2">
                  <c:v>1980</c:v>
                </c:pt>
                <c:pt idx="3">
                  <c:v>1990</c:v>
                </c:pt>
                <c:pt idx="4">
                  <c:v>2000</c:v>
                </c:pt>
                <c:pt idx="5">
                  <c:v>2010</c:v>
                </c:pt>
                <c:pt idx="6">
                  <c:v>2020</c:v>
                </c:pt>
                <c:pt idx="7">
                  <c:v>2030</c:v>
                </c:pt>
                <c:pt idx="8">
                  <c:v>2040</c:v>
                </c:pt>
                <c:pt idx="9">
                  <c:v>2050</c:v>
                </c:pt>
                <c:pt idx="10">
                  <c:v>2060</c:v>
                </c:pt>
              </c:numCache>
            </c:numRef>
          </c:cat>
          <c:val>
            <c:numRef>
              <c:f>Tabelle1!$F$2:$F$12</c:f>
              <c:numCache>
                <c:formatCode>0.00</c:formatCode>
                <c:ptCount val="11"/>
                <c:pt idx="0">
                  <c:v>39.620199999999997</c:v>
                </c:pt>
                <c:pt idx="1">
                  <c:v>39.049999999999997</c:v>
                </c:pt>
                <c:pt idx="2">
                  <c:v>42.257600000000004</c:v>
                </c:pt>
                <c:pt idx="3">
                  <c:v>46.204199999999993</c:v>
                </c:pt>
                <c:pt idx="4">
                  <c:v>45.456600000000009</c:v>
                </c:pt>
                <c:pt idx="5">
                  <c:v>45.235400000000006</c:v>
                </c:pt>
                <c:pt idx="6">
                  <c:v>42.129600000000003</c:v>
                </c:pt>
                <c:pt idx="7">
                  <c:v>37.208999999999996</c:v>
                </c:pt>
                <c:pt idx="8">
                  <c:v>35.788800000000002</c:v>
                </c:pt>
                <c:pt idx="9">
                  <c:v>33.488</c:v>
                </c:pt>
                <c:pt idx="10">
                  <c:v>31.615099999999998</c:v>
                </c:pt>
              </c:numCache>
            </c:numRef>
          </c:val>
        </c:ser>
        <c:ser>
          <c:idx val="1"/>
          <c:order val="2"/>
          <c:tx>
            <c:strRef>
              <c:f>Tabelle1!$D$1</c:f>
              <c:strCache>
                <c:ptCount val="1"/>
                <c:pt idx="0">
                  <c:v>60 Jahre und Älter</c:v>
                </c:pt>
              </c:strCache>
            </c:strRef>
          </c:tx>
          <c:spPr>
            <a:pattFill prst="wdDnDiag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17,4%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20,0%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19,4%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20,4%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23,6%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26,3%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30,5%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36,2%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37,3%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38,9%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39,2%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Tabelle1!$A$2:$A$12</c:f>
              <c:numCache>
                <c:formatCode>General</c:formatCode>
                <c:ptCount val="11"/>
                <c:pt idx="0">
                  <c:v>1960</c:v>
                </c:pt>
                <c:pt idx="1">
                  <c:v>1970</c:v>
                </c:pt>
                <c:pt idx="2">
                  <c:v>1980</c:v>
                </c:pt>
                <c:pt idx="3">
                  <c:v>1990</c:v>
                </c:pt>
                <c:pt idx="4">
                  <c:v>2000</c:v>
                </c:pt>
                <c:pt idx="5">
                  <c:v>2010</c:v>
                </c:pt>
                <c:pt idx="6">
                  <c:v>2020</c:v>
                </c:pt>
                <c:pt idx="7">
                  <c:v>2030</c:v>
                </c:pt>
                <c:pt idx="8">
                  <c:v>2040</c:v>
                </c:pt>
                <c:pt idx="9">
                  <c:v>2050</c:v>
                </c:pt>
                <c:pt idx="10">
                  <c:v>2060</c:v>
                </c:pt>
              </c:numCache>
            </c:numRef>
          </c:cat>
          <c:val>
            <c:numRef>
              <c:f>Tabelle1!$D$2:$D$12</c:f>
              <c:numCache>
                <c:formatCode>0.00</c:formatCode>
                <c:ptCount val="11"/>
                <c:pt idx="0">
                  <c:v>12.719399999999998</c:v>
                </c:pt>
                <c:pt idx="1">
                  <c:v>15.62</c:v>
                </c:pt>
                <c:pt idx="2">
                  <c:v>15.209600000000002</c:v>
                </c:pt>
                <c:pt idx="3">
                  <c:v>16.279199999999999</c:v>
                </c:pt>
                <c:pt idx="4">
                  <c:v>19.3992</c:v>
                </c:pt>
                <c:pt idx="5">
                  <c:v>21.513400000000001</c:v>
                </c:pt>
                <c:pt idx="6">
                  <c:v>24.522000000000002</c:v>
                </c:pt>
                <c:pt idx="7">
                  <c:v>28.597999999999999</c:v>
                </c:pt>
                <c:pt idx="8">
                  <c:v>28.6464</c:v>
                </c:pt>
                <c:pt idx="9">
                  <c:v>28.630399999999998</c:v>
                </c:pt>
                <c:pt idx="10">
                  <c:v>27.479199999999999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9536840"/>
        <c:axId val="259537232"/>
      </c:barChart>
      <c:lineChart>
        <c:grouping val="standard"/>
        <c:varyColors val="0"/>
        <c:ser>
          <c:idx val="0"/>
          <c:order val="3"/>
          <c:tx>
            <c:strRef>
              <c:f>Tabelle1!$B$2:$B$12</c:f>
              <c:strCache>
                <c:ptCount val="11"/>
                <c:pt idx="0">
                  <c:v>73,1</c:v>
                </c:pt>
                <c:pt idx="1">
                  <c:v>78,1</c:v>
                </c:pt>
                <c:pt idx="2">
                  <c:v>78,4</c:v>
                </c:pt>
                <c:pt idx="3">
                  <c:v>79,8</c:v>
                </c:pt>
                <c:pt idx="4">
                  <c:v>82,2</c:v>
                </c:pt>
                <c:pt idx="5">
                  <c:v>81,8</c:v>
                </c:pt>
                <c:pt idx="6">
                  <c:v>80,4</c:v>
                </c:pt>
                <c:pt idx="7">
                  <c:v>79,0</c:v>
                </c:pt>
                <c:pt idx="8">
                  <c:v>76,8</c:v>
                </c:pt>
                <c:pt idx="9">
                  <c:v>73,6</c:v>
                </c:pt>
                <c:pt idx="10">
                  <c:v>70,1</c:v>
                </c:pt>
              </c:strCache>
            </c:strRef>
          </c:tx>
          <c:spPr>
            <a:ln w="28575" cap="rnd">
              <a:solidFill>
                <a:schemeClr val="accent1">
                  <a:alpha val="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3333333333333333E-2"/>
                  <c:y val="-1.5693659761456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7777777777777757E-2"/>
                  <c:y val="-2.1971123666038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555555555555556E-2"/>
                  <c:y val="-2.51098556183301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5555555555555556E-2"/>
                  <c:y val="-2.1971123666038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333333333333333E-2"/>
                  <c:y val="-1.5693659761456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555555555555556E-2"/>
                  <c:y val="-1.8832391713747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5555555555555639E-2"/>
                  <c:y val="-1.8832391713747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5555555555555639E-2"/>
                  <c:y val="-2.1971123666038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7777777777777778E-2"/>
                  <c:y val="-2.1971123666038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5555555555555556E-2"/>
                  <c:y val="-2.1971123666038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3.5555555555555556E-2"/>
                  <c:y val="-2.1971123666038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Tabelle1!$A$2:$A$12</c:f>
              <c:numCache>
                <c:formatCode>General</c:formatCode>
                <c:ptCount val="11"/>
                <c:pt idx="0">
                  <c:v>1960</c:v>
                </c:pt>
                <c:pt idx="1">
                  <c:v>1970</c:v>
                </c:pt>
                <c:pt idx="2">
                  <c:v>1980</c:v>
                </c:pt>
                <c:pt idx="3">
                  <c:v>1990</c:v>
                </c:pt>
                <c:pt idx="4">
                  <c:v>2000</c:v>
                </c:pt>
                <c:pt idx="5">
                  <c:v>2010</c:v>
                </c:pt>
                <c:pt idx="6">
                  <c:v>2020</c:v>
                </c:pt>
                <c:pt idx="7">
                  <c:v>2030</c:v>
                </c:pt>
                <c:pt idx="8">
                  <c:v>2040</c:v>
                </c:pt>
                <c:pt idx="9">
                  <c:v>2050</c:v>
                </c:pt>
                <c:pt idx="10">
                  <c:v>2060</c:v>
                </c:pt>
              </c:numCache>
            </c:numRef>
          </c:cat>
          <c:val>
            <c:numRef>
              <c:f>Tabelle1!$B$2:$B$12</c:f>
              <c:numCache>
                <c:formatCode>0.0</c:formatCode>
                <c:ptCount val="11"/>
                <c:pt idx="0">
                  <c:v>73.099999999999994</c:v>
                </c:pt>
                <c:pt idx="1">
                  <c:v>78.099999999999994</c:v>
                </c:pt>
                <c:pt idx="2">
                  <c:v>78.400000000000006</c:v>
                </c:pt>
                <c:pt idx="3">
                  <c:v>79.8</c:v>
                </c:pt>
                <c:pt idx="4">
                  <c:v>82.2</c:v>
                </c:pt>
                <c:pt idx="5">
                  <c:v>81.8</c:v>
                </c:pt>
                <c:pt idx="6">
                  <c:v>80.400000000000006</c:v>
                </c:pt>
                <c:pt idx="7">
                  <c:v>79</c:v>
                </c:pt>
                <c:pt idx="8">
                  <c:v>76.8</c:v>
                </c:pt>
                <c:pt idx="9">
                  <c:v>73.599999999999994</c:v>
                </c:pt>
                <c:pt idx="10">
                  <c:v>70.099999999999994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536840"/>
        <c:axId val="259537232"/>
      </c:lineChart>
      <c:catAx>
        <c:axId val="259536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37232"/>
        <c:crosses val="autoZero"/>
        <c:auto val="1"/>
        <c:lblAlgn val="ctr"/>
        <c:lblOffset val="100"/>
        <c:noMultiLvlLbl val="0"/>
      </c:catAx>
      <c:valAx>
        <c:axId val="259537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36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Bevölkerungsentwicklung nach Altersgruppen in Tsd.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Tabelle2!$B$1</c:f>
              <c:strCache>
                <c:ptCount val="1"/>
                <c:pt idx="0">
                  <c:v>&lt;20</c:v>
                </c:pt>
              </c:strCache>
            </c:strRef>
          </c:tx>
          <c:spPr>
            <a:pattFill prst="wdDnDiag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Tabelle2!$A$2:$A$4</c:f>
              <c:numCache>
                <c:formatCode>General</c:formatCode>
                <c:ptCount val="3"/>
                <c:pt idx="0">
                  <c:v>1960</c:v>
                </c:pt>
                <c:pt idx="1">
                  <c:v>2011</c:v>
                </c:pt>
                <c:pt idx="2">
                  <c:v>2060</c:v>
                </c:pt>
              </c:numCache>
            </c:numRef>
          </c:cat>
          <c:val>
            <c:numRef>
              <c:f>Tabelle2!$B$2:$B$4</c:f>
              <c:numCache>
                <c:formatCode>General</c:formatCode>
                <c:ptCount val="3"/>
                <c:pt idx="0">
                  <c:v>20760</c:v>
                </c:pt>
                <c:pt idx="1">
                  <c:v>14913</c:v>
                </c:pt>
                <c:pt idx="2">
                  <c:v>11015</c:v>
                </c:pt>
              </c:numCache>
            </c:numRef>
          </c:val>
        </c:ser>
        <c:ser>
          <c:idx val="1"/>
          <c:order val="1"/>
          <c:tx>
            <c:strRef>
              <c:f>Tabelle2!$C$1</c:f>
              <c:strCache>
                <c:ptCount val="1"/>
                <c:pt idx="0">
                  <c:v>20 bis &lt;60</c:v>
                </c:pt>
              </c:strCache>
            </c:strRef>
          </c:tx>
          <c:spPr>
            <a:pattFill prst="narHorz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Tabelle2!$A$2:$A$4</c:f>
              <c:numCache>
                <c:formatCode>General</c:formatCode>
                <c:ptCount val="3"/>
                <c:pt idx="0">
                  <c:v>1960</c:v>
                </c:pt>
                <c:pt idx="1">
                  <c:v>2011</c:v>
                </c:pt>
                <c:pt idx="2">
                  <c:v>2060</c:v>
                </c:pt>
              </c:numCache>
            </c:numRef>
          </c:cat>
          <c:val>
            <c:numRef>
              <c:f>Tabelle2!$C$2:$C$4</c:f>
              <c:numCache>
                <c:formatCode>General</c:formatCode>
                <c:ptCount val="3"/>
                <c:pt idx="0">
                  <c:v>39654</c:v>
                </c:pt>
                <c:pt idx="1">
                  <c:v>45152</c:v>
                </c:pt>
                <c:pt idx="2">
                  <c:v>31611</c:v>
                </c:pt>
              </c:numCache>
            </c:numRef>
          </c:val>
        </c:ser>
        <c:ser>
          <c:idx val="2"/>
          <c:order val="2"/>
          <c:tx>
            <c:strRef>
              <c:f>Tabelle2!$D$1</c:f>
              <c:strCache>
                <c:ptCount val="1"/>
                <c:pt idx="0">
                  <c:v>&gt;60</c:v>
                </c:pt>
              </c:strCache>
            </c:strRef>
          </c:tx>
          <c:spPr>
            <a:pattFill prst="wdUpDiag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Tabelle2!$A$2:$A$4</c:f>
              <c:numCache>
                <c:formatCode>General</c:formatCode>
                <c:ptCount val="3"/>
                <c:pt idx="0">
                  <c:v>1960</c:v>
                </c:pt>
                <c:pt idx="1">
                  <c:v>2011</c:v>
                </c:pt>
                <c:pt idx="2">
                  <c:v>2060</c:v>
                </c:pt>
              </c:numCache>
            </c:numRef>
          </c:cat>
          <c:val>
            <c:numRef>
              <c:f>Tabelle2!$D$2:$D$4</c:f>
              <c:numCache>
                <c:formatCode>General</c:formatCode>
                <c:ptCount val="3"/>
                <c:pt idx="0">
                  <c:v>12732</c:v>
                </c:pt>
                <c:pt idx="1">
                  <c:v>21779</c:v>
                </c:pt>
                <c:pt idx="2">
                  <c:v>27494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259537624"/>
        <c:axId val="259538016"/>
      </c:barChart>
      <c:catAx>
        <c:axId val="259537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38016"/>
        <c:crosses val="autoZero"/>
        <c:auto val="1"/>
        <c:lblAlgn val="ctr"/>
        <c:lblOffset val="100"/>
        <c:noMultiLvlLbl val="0"/>
      </c:catAx>
      <c:valAx>
        <c:axId val="259538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37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Geburtenziffer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3"/>
          <c:order val="0"/>
          <c:tx>
            <c:strRef>
              <c:f>Tabelle2!$E$1</c:f>
              <c:strCache>
                <c:ptCount val="1"/>
                <c:pt idx="0">
                  <c:v>Geburtenziffer - West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1587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-1.429081814933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07181136120042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2918454935622317E-2"/>
                  <c:y val="-4.28724544480171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Tabelle2!$A$2:$A$4</c:f>
              <c:numCache>
                <c:formatCode>General</c:formatCode>
                <c:ptCount val="3"/>
                <c:pt idx="0">
                  <c:v>1960</c:v>
                </c:pt>
                <c:pt idx="1">
                  <c:v>2011</c:v>
                </c:pt>
                <c:pt idx="2">
                  <c:v>2060</c:v>
                </c:pt>
              </c:numCache>
            </c:numRef>
          </c:xVal>
          <c:yVal>
            <c:numRef>
              <c:f>Tabelle2!$E$2:$E$4</c:f>
              <c:numCache>
                <c:formatCode>0.00</c:formatCode>
                <c:ptCount val="3"/>
                <c:pt idx="0">
                  <c:v>2.37</c:v>
                </c:pt>
                <c:pt idx="1">
                  <c:v>1.36</c:v>
                </c:pt>
                <c:pt idx="2">
                  <c:v>1.44</c:v>
                </c:pt>
              </c:numCache>
            </c:numRef>
          </c:yVal>
          <c:smooth val="0"/>
        </c:ser>
        <c:ser>
          <c:idx val="0"/>
          <c:order val="1"/>
          <c:tx>
            <c:strRef>
              <c:f>Tabelle2!$F$1</c:f>
              <c:strCache>
                <c:ptCount val="1"/>
                <c:pt idx="0">
                  <c:v>Geburtenziffer - Ost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1587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2.14362272240085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3.2154340836012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Tabelle2!$A$2:$A$4</c:f>
              <c:numCache>
                <c:formatCode>General</c:formatCode>
                <c:ptCount val="3"/>
                <c:pt idx="0">
                  <c:v>1960</c:v>
                </c:pt>
                <c:pt idx="1">
                  <c:v>2011</c:v>
                </c:pt>
                <c:pt idx="2">
                  <c:v>2060</c:v>
                </c:pt>
              </c:numCache>
            </c:numRef>
          </c:xVal>
          <c:yVal>
            <c:numRef>
              <c:f>Tabelle2!$F$2:$F$3</c:f>
              <c:numCache>
                <c:formatCode>0.00</c:formatCode>
                <c:ptCount val="2"/>
                <c:pt idx="0">
                  <c:v>2.33</c:v>
                </c:pt>
                <c:pt idx="1">
                  <c:v>1.43</c:v>
                </c:pt>
              </c:numCache>
            </c:numRef>
          </c:yVal>
          <c:smooth val="0"/>
        </c:ser>
        <c:dLbls>
          <c:dLblPos val="r"/>
          <c:showLegendKey val="0"/>
          <c:showVal val="1"/>
          <c:showCatName val="0"/>
          <c:showSerName val="0"/>
          <c:showPercent val="0"/>
          <c:showBubbleSize val="0"/>
        </c:dLbls>
        <c:axId val="259538800"/>
        <c:axId val="259539192"/>
      </c:scatterChart>
      <c:valAx>
        <c:axId val="259538800"/>
        <c:scaling>
          <c:orientation val="minMax"/>
          <c:max val="2060"/>
          <c:min val="1960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39192"/>
        <c:crosses val="autoZero"/>
        <c:crossBetween val="midCat"/>
        <c:majorUnit val="50"/>
      </c:valAx>
      <c:valAx>
        <c:axId val="259539192"/>
        <c:scaling>
          <c:orientation val="minMax"/>
          <c:max val="2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38800"/>
        <c:crossesAt val="1940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fernere Lebenserwartung der 60-Jährigen in Jahren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3"/>
          <c:order val="0"/>
          <c:tx>
            <c:strRef>
              <c:f>Tabelle2!$G$1</c:f>
              <c:strCache>
                <c:ptCount val="1"/>
                <c:pt idx="0">
                  <c:v>Frauen</c:v>
                </c:pt>
              </c:strCache>
            </c:strRef>
          </c:tx>
          <c:spPr>
            <a:pattFill prst="wdDnDiag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Tabelle2!$A$2:$A$4</c:f>
              <c:numCache>
                <c:formatCode>General</c:formatCode>
                <c:ptCount val="3"/>
                <c:pt idx="0">
                  <c:v>1960</c:v>
                </c:pt>
                <c:pt idx="1">
                  <c:v>2011</c:v>
                </c:pt>
                <c:pt idx="2">
                  <c:v>2060</c:v>
                </c:pt>
              </c:numCache>
            </c:numRef>
          </c:cat>
          <c:val>
            <c:numRef>
              <c:f>Tabelle2!$G$2:$G$4</c:f>
              <c:numCache>
                <c:formatCode>0.0</c:formatCode>
                <c:ptCount val="3"/>
                <c:pt idx="0">
                  <c:v>18.5</c:v>
                </c:pt>
                <c:pt idx="1">
                  <c:v>25</c:v>
                </c:pt>
                <c:pt idx="2">
                  <c:v>30.1</c:v>
                </c:pt>
              </c:numCache>
            </c:numRef>
          </c:val>
        </c:ser>
        <c:ser>
          <c:idx val="0"/>
          <c:order val="1"/>
          <c:tx>
            <c:strRef>
              <c:f>Tabelle2!$H$1</c:f>
              <c:strCache>
                <c:ptCount val="1"/>
                <c:pt idx="0">
                  <c:v>Männer</c:v>
                </c:pt>
              </c:strCache>
            </c:strRef>
          </c:tx>
          <c:spPr>
            <a:pattFill prst="narHorz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Tabelle2!$A$2:$A$4</c:f>
              <c:numCache>
                <c:formatCode>General</c:formatCode>
                <c:ptCount val="3"/>
                <c:pt idx="0">
                  <c:v>1960</c:v>
                </c:pt>
                <c:pt idx="1">
                  <c:v>2011</c:v>
                </c:pt>
                <c:pt idx="2">
                  <c:v>2060</c:v>
                </c:pt>
              </c:numCache>
            </c:numRef>
          </c:cat>
          <c:val>
            <c:numRef>
              <c:f>Tabelle2!$H$2:$H$4</c:f>
              <c:numCache>
                <c:formatCode>0.0</c:formatCode>
                <c:ptCount val="3"/>
                <c:pt idx="0">
                  <c:v>15.5</c:v>
                </c:pt>
                <c:pt idx="1">
                  <c:v>21.3</c:v>
                </c:pt>
                <c:pt idx="2">
                  <c:v>26.6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59539976"/>
        <c:axId val="259540368"/>
      </c:barChart>
      <c:catAx>
        <c:axId val="259539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40368"/>
        <c:crosses val="autoZero"/>
        <c:auto val="1"/>
        <c:lblAlgn val="ctr"/>
        <c:lblOffset val="100"/>
        <c:noMultiLvlLbl val="0"/>
      </c:catAx>
      <c:valAx>
        <c:axId val="25954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39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Bevölkerungsentwicklung in Prozent in verschiedenen Raumkategorien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Tabelle3!$A$2</c:f>
              <c:strCache>
                <c:ptCount val="1"/>
                <c:pt idx="0">
                  <c:v>2010 bis 2020</c:v>
                </c:pt>
              </c:strCache>
            </c:strRef>
          </c:tx>
          <c:spPr>
            <a:pattFill prst="wdDnDiag">
              <a:fgClr>
                <a:schemeClr val="tx1">
                  <a:lumMod val="65000"/>
                  <a:lumOff val="35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Tabelle3!$B$1:$E$1</c:f>
              <c:strCache>
                <c:ptCount val="4"/>
                <c:pt idx="0">
                  <c:v>Kernstädte</c:v>
                </c:pt>
                <c:pt idx="1">
                  <c:v>verdichtetes Umland</c:v>
                </c:pt>
                <c:pt idx="2">
                  <c:v>ländliches Umland</c:v>
                </c:pt>
                <c:pt idx="3">
                  <c:v>ländlicher Raum</c:v>
                </c:pt>
              </c:strCache>
            </c:strRef>
          </c:cat>
          <c:val>
            <c:numRef>
              <c:f>Tabelle3!$B$2:$E$2</c:f>
              <c:numCache>
                <c:formatCode>General</c:formatCode>
                <c:ptCount val="4"/>
                <c:pt idx="0">
                  <c:v>0.2</c:v>
                </c:pt>
                <c:pt idx="1">
                  <c:v>-0.8</c:v>
                </c:pt>
                <c:pt idx="2">
                  <c:v>-2.6</c:v>
                </c:pt>
                <c:pt idx="3">
                  <c:v>-4.0999999999999996</c:v>
                </c:pt>
              </c:numCache>
            </c:numRef>
          </c:val>
        </c:ser>
        <c:ser>
          <c:idx val="1"/>
          <c:order val="1"/>
          <c:tx>
            <c:strRef>
              <c:f>Tabelle3!$A$3</c:f>
              <c:strCache>
                <c:ptCount val="1"/>
                <c:pt idx="0">
                  <c:v>2010 bis 2030</c:v>
                </c:pt>
              </c:strCache>
            </c:strRef>
          </c:tx>
          <c:spPr>
            <a:pattFill prst="narHorz">
              <a:fgClr>
                <a:schemeClr val="tx1">
                  <a:lumMod val="65000"/>
                  <a:lumOff val="35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Tabelle3!$B$1:$E$1</c:f>
              <c:strCache>
                <c:ptCount val="4"/>
                <c:pt idx="0">
                  <c:v>Kernstädte</c:v>
                </c:pt>
                <c:pt idx="1">
                  <c:v>verdichtetes Umland</c:v>
                </c:pt>
                <c:pt idx="2">
                  <c:v>ländliches Umland</c:v>
                </c:pt>
                <c:pt idx="3">
                  <c:v>ländlicher Raum</c:v>
                </c:pt>
              </c:strCache>
            </c:strRef>
          </c:cat>
          <c:val>
            <c:numRef>
              <c:f>Tabelle3!$B$3:$E$3</c:f>
              <c:numCache>
                <c:formatCode>General</c:formatCode>
                <c:ptCount val="4"/>
                <c:pt idx="0">
                  <c:v>-2.2999999999999998</c:v>
                </c:pt>
                <c:pt idx="1">
                  <c:v>-1.2</c:v>
                </c:pt>
                <c:pt idx="2">
                  <c:v>-4.8</c:v>
                </c:pt>
                <c:pt idx="3">
                  <c:v>-7.6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9541152"/>
        <c:axId val="263360128"/>
      </c:barChart>
      <c:catAx>
        <c:axId val="25954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63360128"/>
        <c:crosses val="autoZero"/>
        <c:auto val="1"/>
        <c:lblAlgn val="ctr"/>
        <c:lblOffset val="100"/>
        <c:noMultiLvlLbl val="0"/>
      </c:catAx>
      <c:valAx>
        <c:axId val="263360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5954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Raumentwicklung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[Elektromobilität_TC_Unterricht_SII_Tabellen.xlsx]Tabelle7!$A$2</c:f>
              <c:strCache>
                <c:ptCount val="1"/>
                <c:pt idx="0">
                  <c:v>2012</c:v>
                </c:pt>
              </c:strCache>
            </c:strRef>
          </c:tx>
          <c:spPr>
            <a:pattFill prst="wdDnDiag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[Elektromobilität_TC_Unterricht_SII_Tabellen.xlsx]Tabelle7!$B$1:$D$1</c:f>
              <c:strCache>
                <c:ptCount val="3"/>
                <c:pt idx="0">
                  <c:v>Ballungsgebiet</c:v>
                </c:pt>
                <c:pt idx="1">
                  <c:v>klein und mittlere Städte</c:v>
                </c:pt>
                <c:pt idx="2">
                  <c:v>ländlicher Raum</c:v>
                </c:pt>
              </c:strCache>
            </c:strRef>
          </c:cat>
          <c:val>
            <c:numRef>
              <c:f>[Elektromobilität_TC_Unterricht_SII_Tabellen.xlsx]Tabelle7!$B$2:$D$2</c:f>
              <c:numCache>
                <c:formatCode>General</c:formatCode>
                <c:ptCount val="3"/>
                <c:pt idx="0">
                  <c:v>38.799999999999997</c:v>
                </c:pt>
                <c:pt idx="1">
                  <c:v>25</c:v>
                </c:pt>
                <c:pt idx="2">
                  <c:v>36.299999999999997</c:v>
                </c:pt>
              </c:numCache>
            </c:numRef>
          </c:val>
        </c:ser>
        <c:ser>
          <c:idx val="1"/>
          <c:order val="1"/>
          <c:tx>
            <c:strRef>
              <c:f>[Elektromobilität_TC_Unterricht_SII_Tabellen.xlsx]Tabelle7!$A$3</c:f>
              <c:strCache>
                <c:ptCount val="1"/>
                <c:pt idx="0">
                  <c:v>2030</c:v>
                </c:pt>
              </c:strCache>
            </c:strRef>
          </c:tx>
          <c:spPr>
            <a:pattFill prst="narHorz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cat>
            <c:strRef>
              <c:f>[Elektromobilität_TC_Unterricht_SII_Tabellen.xlsx]Tabelle7!$B$1:$D$1</c:f>
              <c:strCache>
                <c:ptCount val="3"/>
                <c:pt idx="0">
                  <c:v>Ballungsgebiet</c:v>
                </c:pt>
                <c:pt idx="1">
                  <c:v>klein und mittlere Städte</c:v>
                </c:pt>
                <c:pt idx="2">
                  <c:v>ländlicher Raum</c:v>
                </c:pt>
              </c:strCache>
            </c:strRef>
          </c:cat>
          <c:val>
            <c:numRef>
              <c:f>[Elektromobilität_TC_Unterricht_SII_Tabellen.xlsx]Tabelle7!$B$3:$D$3</c:f>
              <c:numCache>
                <c:formatCode>General</c:formatCode>
                <c:ptCount val="3"/>
                <c:pt idx="0">
                  <c:v>46.8</c:v>
                </c:pt>
                <c:pt idx="1">
                  <c:v>25</c:v>
                </c:pt>
                <c:pt idx="2">
                  <c:v>26.6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3360912"/>
        <c:axId val="263361304"/>
      </c:barChart>
      <c:catAx>
        <c:axId val="26336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63361304"/>
        <c:crosses val="autoZero"/>
        <c:auto val="1"/>
        <c:lblAlgn val="ctr"/>
        <c:lblOffset val="100"/>
        <c:noMultiLvlLbl val="0"/>
      </c:catAx>
      <c:valAx>
        <c:axId val="263361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63360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Entwicklung des weltweiten CO2-Ausstoßes in Mrd.</a:t>
            </a:r>
            <a:r>
              <a:rPr lang="en-US" baseline="0"/>
              <a:t> Tonnen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Tabelle4!$B$1</c:f>
              <c:strCache>
                <c:ptCount val="1"/>
                <c:pt idx="0">
                  <c:v>Mrd. Tonnen</c:v>
                </c:pt>
              </c:strCache>
            </c:strRef>
          </c:tx>
          <c:spPr>
            <a:ln w="1905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50000"/>
                  <a:lumOff val="50000"/>
                </a:schemeClr>
              </a:solidFill>
              <a:ln w="15875">
                <a:solidFill>
                  <a:schemeClr val="tx1">
                    <a:lumMod val="50000"/>
                    <a:lumOff val="50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2.7095173536603241E-2"/>
                  <c:y val="-0.1805448396131691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Beginn der industriellen Revolution 1850: </a:t>
                    </a:r>
                    <a:fld id="{34449DEF-DF72-4BFF-9ACC-ED85263C3FF7}" type="YVALUE">
                      <a:rPr lang="en-US"/>
                      <a:pPr>
                        <a:defRPr/>
                      </a:pPr>
                      <a:t>[Y-WERT]</a:t>
                    </a:fld>
                    <a:r>
                      <a:rPr lang="en-US"/>
                      <a:t> Mrd.t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295507531341937"/>
                      <c:h val="0.1725312859382510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2453382893842945"/>
                  <c:y val="-0.1469879184565016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Auswirkungen der Weltwirtschaftskrise 1932: </a:t>
                    </a:r>
                    <a:fld id="{B11ACAC4-50A5-4010-99DC-FFFB85CDDC45}" type="YVALUE">
                      <a:rPr lang="en-US"/>
                      <a:pPr>
                        <a:defRPr/>
                      </a:pPr>
                      <a:t>[Y-WERT]</a:t>
                    </a:fld>
                    <a:r>
                      <a:rPr lang="en-US"/>
                      <a:t> Mrd. t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755088481670691"/>
                      <c:h val="0.1629435582297179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3224913643287778"/>
                  <c:y val="-0.1933284765578799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Ende des Zweiten Weltkrieges 1945: </a:t>
                    </a:r>
                    <a:fld id="{6440B941-51A5-4E8D-A11D-74F25CCD6F47}" type="YVALUE">
                      <a:rPr lang="en-US"/>
                      <a:pPr>
                        <a:defRPr/>
                      </a:pPr>
                      <a:t>[Y-WERT]</a:t>
                    </a:fld>
                    <a:r>
                      <a:rPr lang="en-US"/>
                      <a:t> Mrd. t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685958362834075"/>
                      <c:h val="0.1405721935764740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0.12947892753187876"/>
                  <c:y val="-5.430655060734863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Ölkrise 1973: </a:t>
                    </a:r>
                    <a:fld id="{5F2664B9-256C-4586-BBDE-6826B16634E9}" type="YVALUE">
                      <a:rPr lang="en-US"/>
                      <a:pPr>
                        <a:defRPr/>
                      </a:pPr>
                      <a:t>[Y-WERT]</a:t>
                    </a:fld>
                    <a:r>
                      <a:rPr lang="en-US"/>
                      <a:t> Mrd. t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315386155749604"/>
                      <c:h val="9.9025373506164069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0"/>
              <c:layout>
                <c:manualLayout>
                  <c:x val="-0.15218555786793689"/>
                  <c:y val="-0.1469879184565017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Ölkrise</a:t>
                    </a:r>
                    <a:r>
                      <a:rPr lang="en-US" baseline="0"/>
                      <a:t> 1980: </a:t>
                    </a:r>
                    <a:fld id="{51911BCD-1C0C-4232-ADDD-6E7083F4B154}" type="YVALUE">
                      <a:rPr lang="en-US"/>
                      <a:pPr>
                        <a:defRPr/>
                      </a:pPr>
                      <a:t>[Y-WERT]</a:t>
                    </a:fld>
                    <a:r>
                      <a:rPr lang="en-US"/>
                      <a:t> Mrd. t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40712094230728"/>
                      <c:h val="0.1118090104508748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0.14877956331752809"/>
                  <c:y val="-0.244463150159921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Abbau der Industrie in Osteuropa 1990: </a:t>
                    </a:r>
                    <a:fld id="{2C833A33-08B1-48E8-94E7-86994D91FDC1}" type="YVALUE">
                      <a:rPr lang="en-US"/>
                      <a:pPr>
                        <a:defRPr/>
                      </a:pPr>
                      <a:t>[Y-WERT]</a:t>
                    </a:fld>
                    <a:r>
                      <a:rPr lang="en-US"/>
                      <a:t> Mrd. t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de-DE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358982885994836"/>
                      <c:h val="0.1853149228829617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Tabelle4!$A$2:$A$18</c:f>
              <c:numCache>
                <c:formatCode>General</c:formatCode>
                <c:ptCount val="17"/>
                <c:pt idx="0">
                  <c:v>1850</c:v>
                </c:pt>
                <c:pt idx="1">
                  <c:v>1870</c:v>
                </c:pt>
                <c:pt idx="2">
                  <c:v>1890</c:v>
                </c:pt>
                <c:pt idx="3">
                  <c:v>1930</c:v>
                </c:pt>
                <c:pt idx="4">
                  <c:v>1932</c:v>
                </c:pt>
                <c:pt idx="5">
                  <c:v>1943</c:v>
                </c:pt>
                <c:pt idx="6">
                  <c:v>1945</c:v>
                </c:pt>
                <c:pt idx="7">
                  <c:v>1950</c:v>
                </c:pt>
                <c:pt idx="8">
                  <c:v>1970</c:v>
                </c:pt>
                <c:pt idx="9">
                  <c:v>1973</c:v>
                </c:pt>
                <c:pt idx="10">
                  <c:v>1980</c:v>
                </c:pt>
                <c:pt idx="11">
                  <c:v>1983</c:v>
                </c:pt>
                <c:pt idx="12">
                  <c:v>1990</c:v>
                </c:pt>
                <c:pt idx="13">
                  <c:v>1997</c:v>
                </c:pt>
                <c:pt idx="14">
                  <c:v>2005</c:v>
                </c:pt>
                <c:pt idx="15">
                  <c:v>2009</c:v>
                </c:pt>
                <c:pt idx="16">
                  <c:v>2013</c:v>
                </c:pt>
              </c:numCache>
            </c:numRef>
          </c:xVal>
          <c:yVal>
            <c:numRef>
              <c:f>Tabelle4!$B$2:$B$18</c:f>
              <c:numCache>
                <c:formatCode>0.000</c:formatCode>
                <c:ptCount val="17"/>
                <c:pt idx="0">
                  <c:v>0.19800000000000001</c:v>
                </c:pt>
                <c:pt idx="1">
                  <c:v>0.75</c:v>
                </c:pt>
                <c:pt idx="2">
                  <c:v>1.5</c:v>
                </c:pt>
                <c:pt idx="3">
                  <c:v>4.5</c:v>
                </c:pt>
                <c:pt idx="4">
                  <c:v>3.1</c:v>
                </c:pt>
                <c:pt idx="5">
                  <c:v>5.2</c:v>
                </c:pt>
                <c:pt idx="6">
                  <c:v>4.3</c:v>
                </c:pt>
                <c:pt idx="7">
                  <c:v>5.3</c:v>
                </c:pt>
                <c:pt idx="8">
                  <c:v>14</c:v>
                </c:pt>
                <c:pt idx="9">
                  <c:v>17</c:v>
                </c:pt>
                <c:pt idx="10">
                  <c:v>19.600000000000001</c:v>
                </c:pt>
                <c:pt idx="11">
                  <c:v>18</c:v>
                </c:pt>
                <c:pt idx="12">
                  <c:v>22.6</c:v>
                </c:pt>
                <c:pt idx="13">
                  <c:v>24.1</c:v>
                </c:pt>
                <c:pt idx="14">
                  <c:v>29.3</c:v>
                </c:pt>
                <c:pt idx="15">
                  <c:v>31.1</c:v>
                </c:pt>
                <c:pt idx="16">
                  <c:v>35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3362088"/>
        <c:axId val="263362480"/>
      </c:scatterChart>
      <c:valAx>
        <c:axId val="263362088"/>
        <c:scaling>
          <c:orientation val="minMax"/>
          <c:max val="2020"/>
          <c:min val="18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63362480"/>
        <c:crosses val="autoZero"/>
        <c:crossBetween val="midCat"/>
      </c:valAx>
      <c:valAx>
        <c:axId val="263362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633620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Entwicklung des CO2-Ausstoßes</a:t>
            </a:r>
            <a:r>
              <a:rPr lang="de-DE" baseline="0"/>
              <a:t> in Prozent</a:t>
            </a:r>
            <a:endParaRPr lang="de-DE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Tabelle5!$A$2</c:f>
              <c:strCache>
                <c:ptCount val="1"/>
                <c:pt idx="0">
                  <c:v>1990</c:v>
                </c:pt>
              </c:strCache>
            </c:strRef>
          </c:tx>
          <c:spPr>
            <a:pattFill prst="narVert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Tabelle5!$B$1:$I$1</c:f>
              <c:strCache>
                <c:ptCount val="8"/>
                <c:pt idx="0">
                  <c:v>China</c:v>
                </c:pt>
                <c:pt idx="1">
                  <c:v>USA</c:v>
                </c:pt>
                <c:pt idx="2">
                  <c:v>Russland</c:v>
                </c:pt>
                <c:pt idx="3">
                  <c:v>Indien</c:v>
                </c:pt>
                <c:pt idx="4">
                  <c:v>Japan</c:v>
                </c:pt>
                <c:pt idx="5">
                  <c:v>Deutschland</c:v>
                </c:pt>
                <c:pt idx="6">
                  <c:v>Kanada</c:v>
                </c:pt>
                <c:pt idx="7">
                  <c:v>Südkorea</c:v>
                </c:pt>
              </c:strCache>
            </c:strRef>
          </c:cat>
          <c:val>
            <c:numRef>
              <c:f>Tabelle5!$B$2:$I$2</c:f>
              <c:numCache>
                <c:formatCode>0.00</c:formatCode>
                <c:ptCount val="8"/>
                <c:pt idx="0">
                  <c:v>11.5</c:v>
                </c:pt>
                <c:pt idx="1">
                  <c:v>22</c:v>
                </c:pt>
                <c:pt idx="2">
                  <c:v>10.199999999999999</c:v>
                </c:pt>
                <c:pt idx="3">
                  <c:v>2.64</c:v>
                </c:pt>
                <c:pt idx="4">
                  <c:v>5.3</c:v>
                </c:pt>
                <c:pt idx="5">
                  <c:v>4.8</c:v>
                </c:pt>
                <c:pt idx="6">
                  <c:v>2</c:v>
                </c:pt>
                <c:pt idx="7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Tabelle5!$A$3</c:f>
              <c:strCache>
                <c:ptCount val="1"/>
                <c:pt idx="0">
                  <c:v>2008</c:v>
                </c:pt>
              </c:strCache>
            </c:strRef>
          </c:tx>
          <c:spPr>
            <a:pattFill prst="wdDnDiag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Tabelle5!$B$1:$I$1</c:f>
              <c:strCache>
                <c:ptCount val="8"/>
                <c:pt idx="0">
                  <c:v>China</c:v>
                </c:pt>
                <c:pt idx="1">
                  <c:v>USA</c:v>
                </c:pt>
                <c:pt idx="2">
                  <c:v>Russland</c:v>
                </c:pt>
                <c:pt idx="3">
                  <c:v>Indien</c:v>
                </c:pt>
                <c:pt idx="4">
                  <c:v>Japan</c:v>
                </c:pt>
                <c:pt idx="5">
                  <c:v>Deutschland</c:v>
                </c:pt>
                <c:pt idx="6">
                  <c:v>Kanada</c:v>
                </c:pt>
                <c:pt idx="7">
                  <c:v>Südkorea</c:v>
                </c:pt>
              </c:strCache>
            </c:strRef>
          </c:cat>
          <c:val>
            <c:numRef>
              <c:f>Tabelle5!$B$3:$I$3</c:f>
              <c:numCache>
                <c:formatCode>0.00</c:formatCode>
                <c:ptCount val="8"/>
                <c:pt idx="0">
                  <c:v>22.29</c:v>
                </c:pt>
                <c:pt idx="1">
                  <c:v>19.05</c:v>
                </c:pt>
                <c:pt idx="2">
                  <c:v>5.42</c:v>
                </c:pt>
                <c:pt idx="3">
                  <c:v>4.8600000000000003</c:v>
                </c:pt>
                <c:pt idx="4">
                  <c:v>3.92</c:v>
                </c:pt>
                <c:pt idx="5">
                  <c:v>2.74</c:v>
                </c:pt>
                <c:pt idx="6">
                  <c:v>1.88</c:v>
                </c:pt>
                <c:pt idx="7">
                  <c:v>1.71</c:v>
                </c:pt>
              </c:numCache>
            </c:numRef>
          </c:val>
        </c:ser>
        <c:ser>
          <c:idx val="2"/>
          <c:order val="2"/>
          <c:tx>
            <c:strRef>
              <c:f>Tabelle5!$A$4</c:f>
              <c:strCache>
                <c:ptCount val="1"/>
                <c:pt idx="0">
                  <c:v>2011</c:v>
                </c:pt>
              </c:strCache>
            </c:strRef>
          </c:tx>
          <c:spPr>
            <a:pattFill prst="pct50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Tabelle5!$B$1:$I$1</c:f>
              <c:strCache>
                <c:ptCount val="8"/>
                <c:pt idx="0">
                  <c:v>China</c:v>
                </c:pt>
                <c:pt idx="1">
                  <c:v>USA</c:v>
                </c:pt>
                <c:pt idx="2">
                  <c:v>Russland</c:v>
                </c:pt>
                <c:pt idx="3">
                  <c:v>Indien</c:v>
                </c:pt>
                <c:pt idx="4">
                  <c:v>Japan</c:v>
                </c:pt>
                <c:pt idx="5">
                  <c:v>Deutschland</c:v>
                </c:pt>
                <c:pt idx="6">
                  <c:v>Kanada</c:v>
                </c:pt>
                <c:pt idx="7">
                  <c:v>Südkorea</c:v>
                </c:pt>
              </c:strCache>
            </c:strRef>
          </c:cat>
          <c:val>
            <c:numRef>
              <c:f>Tabelle5!$B$4:$I$4</c:f>
              <c:numCache>
                <c:formatCode>0.00</c:formatCode>
                <c:ptCount val="8"/>
                <c:pt idx="0">
                  <c:v>23.71</c:v>
                </c:pt>
                <c:pt idx="1">
                  <c:v>17.91</c:v>
                </c:pt>
                <c:pt idx="2">
                  <c:v>5.28</c:v>
                </c:pt>
                <c:pt idx="3">
                  <c:v>5.47</c:v>
                </c:pt>
                <c:pt idx="4">
                  <c:v>3.77</c:v>
                </c:pt>
                <c:pt idx="5">
                  <c:v>2.59</c:v>
                </c:pt>
                <c:pt idx="6">
                  <c:v>1.8</c:v>
                </c:pt>
                <c:pt idx="7">
                  <c:v>1.78</c:v>
                </c:pt>
              </c:numCache>
            </c:numRef>
          </c:val>
        </c:ser>
        <c:ser>
          <c:idx val="3"/>
          <c:order val="3"/>
          <c:tx>
            <c:strRef>
              <c:f>Tabelle5!$A$5</c:f>
              <c:strCache>
                <c:ptCount val="1"/>
                <c:pt idx="0">
                  <c:v>2014</c:v>
                </c:pt>
              </c:strCache>
            </c:strRef>
          </c:tx>
          <c:spPr>
            <a:pattFill prst="wdUpDiag">
              <a:fgClr>
                <a:sysClr val="windowText" lastClr="000000"/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Tabelle5!$B$1:$I$1</c:f>
              <c:strCache>
                <c:ptCount val="8"/>
                <c:pt idx="0">
                  <c:v>China</c:v>
                </c:pt>
                <c:pt idx="1">
                  <c:v>USA</c:v>
                </c:pt>
                <c:pt idx="2">
                  <c:v>Russland</c:v>
                </c:pt>
                <c:pt idx="3">
                  <c:v>Indien</c:v>
                </c:pt>
                <c:pt idx="4">
                  <c:v>Japan</c:v>
                </c:pt>
                <c:pt idx="5">
                  <c:v>Deutschland</c:v>
                </c:pt>
                <c:pt idx="6">
                  <c:v>Kanada</c:v>
                </c:pt>
                <c:pt idx="7">
                  <c:v>Südkorea</c:v>
                </c:pt>
              </c:strCache>
            </c:strRef>
          </c:cat>
          <c:val>
            <c:numRef>
              <c:f>Tabelle5!$B$5:$I$5</c:f>
              <c:numCache>
                <c:formatCode>0.00</c:formatCode>
                <c:ptCount val="8"/>
                <c:pt idx="0">
                  <c:v>23.43</c:v>
                </c:pt>
                <c:pt idx="1">
                  <c:v>14.69</c:v>
                </c:pt>
                <c:pt idx="2">
                  <c:v>4.87</c:v>
                </c:pt>
                <c:pt idx="3">
                  <c:v>5.7</c:v>
                </c:pt>
                <c:pt idx="4">
                  <c:v>3.61</c:v>
                </c:pt>
                <c:pt idx="5">
                  <c:v>2.23</c:v>
                </c:pt>
                <c:pt idx="6">
                  <c:v>1.57</c:v>
                </c:pt>
                <c:pt idx="7">
                  <c:v>1.75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3363264"/>
        <c:axId val="263363656"/>
      </c:barChart>
      <c:catAx>
        <c:axId val="263363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63363656"/>
        <c:crosses val="autoZero"/>
        <c:auto val="1"/>
        <c:lblAlgn val="ctr"/>
        <c:lblOffset val="100"/>
        <c:noMultiLvlLbl val="0"/>
      </c:catAx>
      <c:valAx>
        <c:axId val="263363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26336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de-DE"/>
              <a:t>Prozentualer Anteil am CO2-Ausstoß nach Quellen für Deutschland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Tabelle6!$A$2</c:f>
              <c:strCache>
                <c:ptCount val="1"/>
                <c:pt idx="0">
                  <c:v>Kraftwerke</c:v>
                </c:pt>
              </c:strCache>
            </c:strRef>
          </c:tx>
          <c:spPr>
            <a:pattFill prst="pct5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Tabelle6!$B$1:$F$1</c:f>
              <c:numCache>
                <c:formatCode>General</c:formatCode>
                <c:ptCount val="5"/>
                <c:pt idx="0">
                  <c:v>1971</c:v>
                </c:pt>
                <c:pt idx="1">
                  <c:v>1990</c:v>
                </c:pt>
                <c:pt idx="2">
                  <c:v>1995</c:v>
                </c:pt>
                <c:pt idx="3">
                  <c:v>2004</c:v>
                </c:pt>
                <c:pt idx="4">
                  <c:v>2011</c:v>
                </c:pt>
              </c:numCache>
            </c:numRef>
          </c:cat>
          <c:val>
            <c:numRef>
              <c:f>Tabelle6!$B$2:$F$2</c:f>
              <c:numCache>
                <c:formatCode>0.0</c:formatCode>
                <c:ptCount val="5"/>
                <c:pt idx="0">
                  <c:v>27</c:v>
                </c:pt>
                <c:pt idx="1">
                  <c:v>40.799999999999997</c:v>
                </c:pt>
                <c:pt idx="2">
                  <c:v>40</c:v>
                </c:pt>
                <c:pt idx="3">
                  <c:v>41.1</c:v>
                </c:pt>
                <c:pt idx="4">
                  <c:v>46.4</c:v>
                </c:pt>
              </c:numCache>
            </c:numRef>
          </c:val>
        </c:ser>
        <c:ser>
          <c:idx val="1"/>
          <c:order val="1"/>
          <c:tx>
            <c:strRef>
              <c:f>Tabelle6!$A$3</c:f>
              <c:strCache>
                <c:ptCount val="1"/>
                <c:pt idx="0">
                  <c:v>Industrie</c:v>
                </c:pt>
              </c:strCache>
            </c:strRef>
          </c:tx>
          <c:spPr>
            <a:pattFill prst="dkUpDiag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Tabelle6!$B$1:$F$1</c:f>
              <c:numCache>
                <c:formatCode>General</c:formatCode>
                <c:ptCount val="5"/>
                <c:pt idx="0">
                  <c:v>1971</c:v>
                </c:pt>
                <c:pt idx="1">
                  <c:v>1990</c:v>
                </c:pt>
                <c:pt idx="2">
                  <c:v>1995</c:v>
                </c:pt>
                <c:pt idx="3">
                  <c:v>2004</c:v>
                </c:pt>
                <c:pt idx="4">
                  <c:v>2011</c:v>
                </c:pt>
              </c:numCache>
            </c:numRef>
          </c:cat>
          <c:val>
            <c:numRef>
              <c:f>Tabelle6!$B$3:$F$3</c:f>
              <c:numCache>
                <c:formatCode>0.0</c:formatCode>
                <c:ptCount val="5"/>
                <c:pt idx="0">
                  <c:v>27</c:v>
                </c:pt>
                <c:pt idx="1">
                  <c:v>23.2</c:v>
                </c:pt>
                <c:pt idx="2">
                  <c:v>17</c:v>
                </c:pt>
                <c:pt idx="3">
                  <c:v>20.399999999999999</c:v>
                </c:pt>
                <c:pt idx="4">
                  <c:v>16.600000000000001</c:v>
                </c:pt>
              </c:numCache>
            </c:numRef>
          </c:val>
        </c:ser>
        <c:ser>
          <c:idx val="2"/>
          <c:order val="2"/>
          <c:tx>
            <c:strRef>
              <c:f>Tabelle6!$A$4</c:f>
              <c:strCache>
                <c:ptCount val="1"/>
                <c:pt idx="0">
                  <c:v>Verkehr</c:v>
                </c:pt>
              </c:strCache>
            </c:strRef>
          </c:tx>
          <c:spPr>
            <a:pattFill prst="ltHorz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Tabelle6!$B$1:$F$1</c:f>
              <c:numCache>
                <c:formatCode>General</c:formatCode>
                <c:ptCount val="5"/>
                <c:pt idx="0">
                  <c:v>1971</c:v>
                </c:pt>
                <c:pt idx="1">
                  <c:v>1990</c:v>
                </c:pt>
                <c:pt idx="2">
                  <c:v>1995</c:v>
                </c:pt>
                <c:pt idx="3">
                  <c:v>2004</c:v>
                </c:pt>
                <c:pt idx="4">
                  <c:v>2011</c:v>
                </c:pt>
              </c:numCache>
            </c:numRef>
          </c:cat>
          <c:val>
            <c:numRef>
              <c:f>Tabelle6!$B$4:$F$4</c:f>
              <c:numCache>
                <c:formatCode>0.0</c:formatCode>
                <c:ptCount val="5"/>
                <c:pt idx="0">
                  <c:v>20</c:v>
                </c:pt>
                <c:pt idx="1">
                  <c:v>16</c:v>
                </c:pt>
                <c:pt idx="2">
                  <c:v>23</c:v>
                </c:pt>
                <c:pt idx="3">
                  <c:v>19.399999999999999</c:v>
                </c:pt>
                <c:pt idx="4">
                  <c:v>20</c:v>
                </c:pt>
              </c:numCache>
            </c:numRef>
          </c:val>
        </c:ser>
        <c:ser>
          <c:idx val="3"/>
          <c:order val="3"/>
          <c:tx>
            <c:strRef>
              <c:f>Tabelle6!$A$5</c:f>
              <c:strCache>
                <c:ptCount val="1"/>
                <c:pt idx="0">
                  <c:v>Haushalte und Kleingewerbe</c:v>
                </c:pt>
              </c:strCache>
            </c:strRef>
          </c:tx>
          <c:spPr>
            <a:pattFill prst="wdDnDiag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de-D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Tabelle6!$B$1:$F$1</c:f>
              <c:numCache>
                <c:formatCode>General</c:formatCode>
                <c:ptCount val="5"/>
                <c:pt idx="0">
                  <c:v>1971</c:v>
                </c:pt>
                <c:pt idx="1">
                  <c:v>1990</c:v>
                </c:pt>
                <c:pt idx="2">
                  <c:v>1995</c:v>
                </c:pt>
                <c:pt idx="3">
                  <c:v>2004</c:v>
                </c:pt>
                <c:pt idx="4">
                  <c:v>2011</c:v>
                </c:pt>
              </c:numCache>
            </c:numRef>
          </c:cat>
          <c:val>
            <c:numRef>
              <c:f>Tabelle6!$B$5:$F$5</c:f>
              <c:numCache>
                <c:formatCode>0.0</c:formatCode>
                <c:ptCount val="5"/>
                <c:pt idx="0">
                  <c:v>26</c:v>
                </c:pt>
                <c:pt idx="1">
                  <c:v>20</c:v>
                </c:pt>
                <c:pt idx="2">
                  <c:v>20</c:v>
                </c:pt>
                <c:pt idx="3">
                  <c:v>19.100000000000001</c:v>
                </c:pt>
                <c:pt idx="4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16619304"/>
        <c:axId val="316619696"/>
      </c:barChart>
      <c:catAx>
        <c:axId val="316619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316619696"/>
        <c:crosses val="autoZero"/>
        <c:auto val="1"/>
        <c:lblAlgn val="ctr"/>
        <c:lblOffset val="100"/>
        <c:noMultiLvlLbl val="0"/>
      </c:catAx>
      <c:valAx>
        <c:axId val="31661969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de-DE"/>
          </a:p>
        </c:txPr>
        <c:crossAx val="316619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de-D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de-D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7D27C-DECA-4236-AA42-0BA5FD155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128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Links>
    <vt:vector size="18" baseType="variant">
      <vt:variant>
        <vt:i4>9306204</vt:i4>
      </vt:variant>
      <vt:variant>
        <vt:i4>6</vt:i4>
      </vt:variant>
      <vt:variant>
        <vt:i4>0</vt:i4>
      </vt:variant>
      <vt:variant>
        <vt:i4>5</vt:i4>
      </vt:variant>
      <vt:variant>
        <vt:lpwstr>http://de.wikipedia.org/wiki/Elektromobilität</vt:lpwstr>
      </vt:variant>
      <vt:variant>
        <vt:lpwstr/>
      </vt:variant>
      <vt:variant>
        <vt:i4>9306204</vt:i4>
      </vt:variant>
      <vt:variant>
        <vt:i4>3</vt:i4>
      </vt:variant>
      <vt:variant>
        <vt:i4>0</vt:i4>
      </vt:variant>
      <vt:variant>
        <vt:i4>5</vt:i4>
      </vt:variant>
      <vt:variant>
        <vt:lpwstr>http://de.wikipedia.org/wiki/Elektromobilität</vt:lpwstr>
      </vt:variant>
      <vt:variant>
        <vt:lpwstr/>
      </vt:variant>
      <vt:variant>
        <vt:i4>9306204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http://de.wikipedia.org/wiki/Elektromobilität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F_Szmala</dc:creator>
  <cp:keywords/>
  <dc:description/>
  <cp:lastModifiedBy>F_Szmala</cp:lastModifiedBy>
  <cp:revision>8</cp:revision>
  <dcterms:created xsi:type="dcterms:W3CDTF">2016-01-19T13:08:00Z</dcterms:created>
  <dcterms:modified xsi:type="dcterms:W3CDTF">2016-01-19T20:40:00Z</dcterms:modified>
</cp:coreProperties>
</file>