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20" w:rsidRPr="00483B32" w:rsidRDefault="00ED60DD" w:rsidP="00483B32">
      <w:pPr>
        <w:rPr>
          <w:rFonts w:ascii="Arial" w:hAnsi="Arial" w:cs="Arial"/>
          <w:b/>
          <w:sz w:val="24"/>
        </w:rPr>
      </w:pPr>
      <w:r w:rsidRPr="00483B32">
        <w:rPr>
          <w:rFonts w:ascii="Arial" w:hAnsi="Arial" w:cs="Arial"/>
          <w:b/>
          <w:sz w:val="24"/>
        </w:rPr>
        <w:t>Hinweise zum unterricht</w:t>
      </w:r>
      <w:r w:rsidR="009A4120" w:rsidRPr="00483B32">
        <w:rPr>
          <w:rFonts w:ascii="Arial" w:hAnsi="Arial" w:cs="Arial"/>
          <w:b/>
          <w:sz w:val="24"/>
        </w:rPr>
        <w:t>lichen Einsatz</w:t>
      </w:r>
    </w:p>
    <w:p w:rsidR="00E16BAE" w:rsidRDefault="00E16BAE" w:rsidP="008E5A0B">
      <w:pPr>
        <w:jc w:val="both"/>
        <w:rPr>
          <w:rFonts w:ascii="Arial" w:hAnsi="Arial" w:cs="Arial"/>
        </w:rPr>
      </w:pPr>
      <w:r>
        <w:rPr>
          <w:rFonts w:ascii="Arial" w:hAnsi="Arial" w:cs="Arial"/>
        </w:rPr>
        <w:t xml:space="preserve">Das Arbeitsblatt „Die Gottesurteilsbohne“ ist eine klassische Anwendungsaufgabe, die das Verständnis der Funktion einer cholinergen Synapse vertieft und den Fokus auf die Bedeutung der </w:t>
      </w:r>
      <w:proofErr w:type="spellStart"/>
      <w:r>
        <w:rPr>
          <w:rFonts w:ascii="Arial" w:hAnsi="Arial" w:cs="Arial"/>
        </w:rPr>
        <w:t>Acetylcholinesterase</w:t>
      </w:r>
      <w:proofErr w:type="spellEnd"/>
      <w:r>
        <w:rPr>
          <w:rFonts w:ascii="Arial" w:hAnsi="Arial" w:cs="Arial"/>
        </w:rPr>
        <w:t xml:space="preserve"> lenkt. Was das Beispiel besonders interessant macht, ist, dass in diesem Kontext zugleich ein zweites </w:t>
      </w:r>
      <w:proofErr w:type="spellStart"/>
      <w:r>
        <w:rPr>
          <w:rFonts w:ascii="Arial" w:hAnsi="Arial" w:cs="Arial"/>
        </w:rPr>
        <w:t>Synapsengift</w:t>
      </w:r>
      <w:proofErr w:type="spellEnd"/>
      <w:r>
        <w:rPr>
          <w:rFonts w:ascii="Arial" w:hAnsi="Arial" w:cs="Arial"/>
        </w:rPr>
        <w:t>, das A</w:t>
      </w:r>
      <w:r w:rsidR="00E44503">
        <w:rPr>
          <w:rFonts w:ascii="Arial" w:hAnsi="Arial" w:cs="Arial"/>
        </w:rPr>
        <w:t>tropin, betrachtet werden kann. Atropin und Physostigmin wirken entgegengesetzt.</w:t>
      </w:r>
    </w:p>
    <w:p w:rsidR="00E16BAE" w:rsidRDefault="00E16BAE" w:rsidP="00ED60DD">
      <w:pPr>
        <w:rPr>
          <w:rFonts w:ascii="Arial" w:hAnsi="Arial" w:cs="Arial"/>
        </w:rPr>
      </w:pPr>
    </w:p>
    <w:p w:rsidR="009A4120" w:rsidRPr="008E272D" w:rsidRDefault="00F937C1" w:rsidP="008E272D">
      <w:pPr>
        <w:rPr>
          <w:rFonts w:ascii="Arial" w:hAnsi="Arial" w:cs="Arial"/>
          <w:b/>
          <w:sz w:val="24"/>
        </w:rPr>
      </w:pPr>
      <w:r>
        <w:rPr>
          <w:rFonts w:ascii="Arial" w:hAnsi="Arial" w:cs="Arial"/>
          <w:b/>
          <w:sz w:val="24"/>
        </w:rPr>
        <w:t xml:space="preserve">Lösungen </w:t>
      </w:r>
    </w:p>
    <w:p w:rsidR="00657779" w:rsidRPr="007C7B1D" w:rsidRDefault="007C7B1D" w:rsidP="008E5A0B">
      <w:pPr>
        <w:jc w:val="both"/>
        <w:rPr>
          <w:rFonts w:ascii="Arial" w:hAnsi="Arial" w:cs="Arial"/>
        </w:rPr>
      </w:pPr>
      <w:r>
        <w:rPr>
          <w:rFonts w:ascii="Arial" w:hAnsi="Arial" w:cs="Arial"/>
        </w:rPr>
        <w:t>1.</w:t>
      </w:r>
    </w:p>
    <w:p w:rsidR="007C7B1D" w:rsidRDefault="008551E4" w:rsidP="007C7B1D">
      <w:pPr>
        <w:spacing w:after="0" w:line="240" w:lineRule="auto"/>
        <w:jc w:val="center"/>
        <w:rPr>
          <w:rFonts w:ascii="Arial" w:hAnsi="Arial" w:cs="Arial"/>
        </w:rPr>
      </w:pPr>
      <w:r w:rsidRPr="007C7B1D">
        <w:rPr>
          <w:rFonts w:ascii="Arial" w:hAnsi="Arial" w:cs="Arial"/>
        </w:rPr>
        <w:t>Eintreffen eines Aktionspotenzials</w:t>
      </w:r>
    </w:p>
    <w:p w:rsidR="007C7B1D" w:rsidRDefault="007C7B1D" w:rsidP="007C7B1D">
      <w:pPr>
        <w:spacing w:after="0" w:line="240" w:lineRule="auto"/>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Depolarisation der präsynaptischen Membran</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Öffnung der spannungsgesteuert</w:t>
      </w:r>
      <w:r w:rsidR="007C7B1D">
        <w:rPr>
          <w:rFonts w:ascii="Arial" w:hAnsi="Arial" w:cs="Arial"/>
        </w:rPr>
        <w:t>en Calcium</w:t>
      </w:r>
      <w:r w:rsidR="00E0024E">
        <w:rPr>
          <w:rFonts w:ascii="Arial" w:hAnsi="Arial" w:cs="Arial"/>
        </w:rPr>
        <w:t>ionen</w:t>
      </w:r>
      <w:r w:rsidR="007C7B1D">
        <w:rPr>
          <w:rFonts w:ascii="Arial" w:hAnsi="Arial" w:cs="Arial"/>
        </w:rPr>
        <w:t>-Kanäle</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Calcium-Einstrom in die präsynaptische Endigung</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Verschmelzung der mit Acetylcholin (</w:t>
      </w:r>
      <w:proofErr w:type="spellStart"/>
      <w:r>
        <w:rPr>
          <w:rFonts w:ascii="Arial" w:hAnsi="Arial" w:cs="Arial"/>
        </w:rPr>
        <w:t>ACh</w:t>
      </w:r>
      <w:proofErr w:type="spellEnd"/>
      <w:r>
        <w:rPr>
          <w:rFonts w:ascii="Arial" w:hAnsi="Arial" w:cs="Arial"/>
        </w:rPr>
        <w:t xml:space="preserve">) gefüllten Vesikeln </w:t>
      </w:r>
      <w:r w:rsidR="007C7B1D">
        <w:rPr>
          <w:rFonts w:ascii="Arial" w:hAnsi="Arial" w:cs="Arial"/>
        </w:rPr>
        <w:br/>
      </w:r>
      <w:r>
        <w:rPr>
          <w:rFonts w:ascii="Arial" w:hAnsi="Arial" w:cs="Arial"/>
        </w:rPr>
        <w:t>mit der präsynaptischen</w:t>
      </w:r>
      <w:r w:rsidR="007C7B1D">
        <w:rPr>
          <w:rFonts w:ascii="Arial" w:hAnsi="Arial" w:cs="Arial"/>
        </w:rPr>
        <w:t xml:space="preserve"> </w:t>
      </w:r>
      <w:r>
        <w:rPr>
          <w:rFonts w:ascii="Arial" w:hAnsi="Arial" w:cs="Arial"/>
        </w:rPr>
        <w:t>Membran</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Freisetzung der Transmitter in den synaptischen Spalt (</w:t>
      </w:r>
      <w:proofErr w:type="spellStart"/>
      <w:r>
        <w:rPr>
          <w:rFonts w:ascii="Arial" w:hAnsi="Arial" w:cs="Arial"/>
        </w:rPr>
        <w:t>Exocytose</w:t>
      </w:r>
      <w:proofErr w:type="spellEnd"/>
      <w:r>
        <w:rPr>
          <w:rFonts w:ascii="Arial" w:hAnsi="Arial" w:cs="Arial"/>
        </w:rPr>
        <w:t>)</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Transmitter diffundieren zur postsynaptischen Membran</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Bind</w:t>
      </w:r>
      <w:r w:rsidR="007B372A">
        <w:rPr>
          <w:rFonts w:ascii="Arial" w:hAnsi="Arial" w:cs="Arial"/>
        </w:rPr>
        <w:t xml:space="preserve">ung der Transmitter an die </w:t>
      </w:r>
      <w:r>
        <w:rPr>
          <w:rFonts w:ascii="Arial" w:hAnsi="Arial" w:cs="Arial"/>
        </w:rPr>
        <w:t>Rezeptoren</w:t>
      </w:r>
      <w:r w:rsidR="007B372A">
        <w:rPr>
          <w:rFonts w:ascii="Arial" w:hAnsi="Arial" w:cs="Arial"/>
        </w:rPr>
        <w:t xml:space="preserve"> von </w:t>
      </w:r>
      <w:proofErr w:type="spellStart"/>
      <w:r w:rsidR="007B372A">
        <w:rPr>
          <w:rFonts w:ascii="Arial" w:hAnsi="Arial" w:cs="Arial"/>
        </w:rPr>
        <w:t>ligandengesteuerten</w:t>
      </w:r>
      <w:proofErr w:type="spellEnd"/>
      <w:r w:rsidR="007B372A">
        <w:rPr>
          <w:rFonts w:ascii="Arial" w:hAnsi="Arial" w:cs="Arial"/>
        </w:rPr>
        <w:t xml:space="preserve"> Natrium</w:t>
      </w:r>
      <w:r w:rsidR="00E0024E">
        <w:rPr>
          <w:rFonts w:ascii="Arial" w:hAnsi="Arial" w:cs="Arial"/>
        </w:rPr>
        <w:t>ionen-K</w:t>
      </w:r>
      <w:r w:rsidR="007B372A">
        <w:rPr>
          <w:rFonts w:ascii="Arial" w:hAnsi="Arial" w:cs="Arial"/>
        </w:rPr>
        <w:t>anälen</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 xml:space="preserve">Öffnung </w:t>
      </w:r>
      <w:r w:rsidR="007B372A">
        <w:rPr>
          <w:rFonts w:ascii="Arial" w:hAnsi="Arial" w:cs="Arial"/>
        </w:rPr>
        <w:t xml:space="preserve">der </w:t>
      </w:r>
      <w:proofErr w:type="spellStart"/>
      <w:r w:rsidR="007B372A">
        <w:rPr>
          <w:rFonts w:ascii="Arial" w:hAnsi="Arial" w:cs="Arial"/>
        </w:rPr>
        <w:t>ligandengesteuerten</w:t>
      </w:r>
      <w:proofErr w:type="spellEnd"/>
      <w:r>
        <w:rPr>
          <w:rFonts w:ascii="Arial" w:hAnsi="Arial" w:cs="Arial"/>
        </w:rPr>
        <w:t xml:space="preserve"> Natrium</w:t>
      </w:r>
      <w:r w:rsidR="00E0024E">
        <w:rPr>
          <w:rFonts w:ascii="Arial" w:hAnsi="Arial" w:cs="Arial"/>
        </w:rPr>
        <w:t>ionen-K</w:t>
      </w:r>
      <w:r>
        <w:rPr>
          <w:rFonts w:ascii="Arial" w:hAnsi="Arial" w:cs="Arial"/>
        </w:rPr>
        <w:t>anäle</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 xml:space="preserve">Depolarisation der </w:t>
      </w:r>
      <w:r w:rsidR="007B372A">
        <w:rPr>
          <w:rFonts w:ascii="Arial" w:hAnsi="Arial" w:cs="Arial"/>
        </w:rPr>
        <w:t xml:space="preserve">postsynaptischen </w:t>
      </w:r>
      <w:r w:rsidR="00E0024E">
        <w:rPr>
          <w:rFonts w:ascii="Arial" w:hAnsi="Arial" w:cs="Arial"/>
        </w:rPr>
        <w:t xml:space="preserve">Membran </w:t>
      </w:r>
      <w:r>
        <w:rPr>
          <w:rFonts w:ascii="Arial" w:hAnsi="Arial" w:cs="Arial"/>
        </w:rPr>
        <w:t>durch Natrium</w:t>
      </w:r>
      <w:r w:rsidR="00E0024E">
        <w:rPr>
          <w:rFonts w:ascii="Arial" w:hAnsi="Arial" w:cs="Arial"/>
        </w:rPr>
        <w:t>ionen</w:t>
      </w:r>
      <w:r>
        <w:rPr>
          <w:rFonts w:ascii="Arial" w:hAnsi="Arial" w:cs="Arial"/>
        </w:rPr>
        <w:t>-Einstrom</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r>
        <w:rPr>
          <w:rFonts w:ascii="Arial" w:hAnsi="Arial" w:cs="Arial"/>
        </w:rPr>
        <w:t xml:space="preserve">Wenn postsynaptisches Potenzial </w:t>
      </w:r>
      <w:proofErr w:type="spellStart"/>
      <w:r>
        <w:rPr>
          <w:rFonts w:ascii="Arial" w:hAnsi="Arial" w:cs="Arial"/>
        </w:rPr>
        <w:t>überschwellig</w:t>
      </w:r>
      <w:proofErr w:type="spellEnd"/>
      <w:r>
        <w:rPr>
          <w:rFonts w:ascii="Arial" w:hAnsi="Arial" w:cs="Arial"/>
        </w:rPr>
        <w:t xml:space="preserve"> </w:t>
      </w:r>
      <w:r>
        <w:rPr>
          <w:rFonts w:ascii="Arial" w:hAnsi="Arial" w:cs="Arial"/>
        </w:rPr>
        <w:sym w:font="Wingdings 3" w:char="F067"/>
      </w:r>
      <w:r>
        <w:rPr>
          <w:rFonts w:ascii="Arial" w:hAnsi="Arial" w:cs="Arial"/>
        </w:rPr>
        <w:t xml:space="preserve"> Aktionspotenzial und </w:t>
      </w:r>
      <w:r w:rsidR="007C7B1D">
        <w:rPr>
          <w:rFonts w:ascii="Arial" w:hAnsi="Arial" w:cs="Arial"/>
        </w:rPr>
        <w:br/>
      </w:r>
      <w:r>
        <w:rPr>
          <w:rFonts w:ascii="Arial" w:hAnsi="Arial" w:cs="Arial"/>
        </w:rPr>
        <w:t>Weiterleitung des Signals</w:t>
      </w:r>
    </w:p>
    <w:p w:rsidR="007C7B1D" w:rsidRDefault="007C7B1D" w:rsidP="007C7B1D">
      <w:pPr>
        <w:pStyle w:val="Listenabsatz"/>
        <w:spacing w:after="0" w:line="240" w:lineRule="auto"/>
        <w:ind w:left="360"/>
        <w:contextualSpacing w:val="0"/>
        <w:jc w:val="center"/>
        <w:rPr>
          <w:rFonts w:ascii="Arial" w:hAnsi="Arial" w:cs="Arial"/>
        </w:rPr>
      </w:pPr>
    </w:p>
    <w:p w:rsidR="008551E4" w:rsidRDefault="008551E4" w:rsidP="007C7B1D">
      <w:pPr>
        <w:pStyle w:val="Listenabsatz"/>
        <w:spacing w:after="0" w:line="240" w:lineRule="auto"/>
        <w:ind w:left="360"/>
        <w:contextualSpacing w:val="0"/>
        <w:jc w:val="center"/>
        <w:rPr>
          <w:rFonts w:ascii="Arial" w:hAnsi="Arial" w:cs="Arial"/>
        </w:rPr>
      </w:pPr>
    </w:p>
    <w:p w:rsidR="00C56A96" w:rsidRDefault="00C56A96" w:rsidP="007C7B1D">
      <w:pPr>
        <w:pStyle w:val="Listenabsatz"/>
        <w:spacing w:after="0" w:line="240" w:lineRule="auto"/>
        <w:ind w:left="360"/>
        <w:contextualSpacing w:val="0"/>
        <w:jc w:val="center"/>
        <w:rPr>
          <w:rFonts w:ascii="Arial" w:hAnsi="Arial" w:cs="Arial"/>
        </w:rPr>
      </w:pPr>
    </w:p>
    <w:p w:rsidR="008551E4" w:rsidRDefault="008551E4" w:rsidP="007C7B1D">
      <w:pPr>
        <w:pStyle w:val="Listenabsatz"/>
        <w:spacing w:after="0" w:line="240" w:lineRule="auto"/>
        <w:ind w:left="360"/>
        <w:contextualSpacing w:val="0"/>
        <w:jc w:val="center"/>
        <w:rPr>
          <w:rFonts w:ascii="Arial" w:hAnsi="Arial" w:cs="Arial"/>
        </w:rPr>
      </w:pPr>
      <w:proofErr w:type="spellStart"/>
      <w:r>
        <w:rPr>
          <w:rFonts w:ascii="Arial" w:hAnsi="Arial" w:cs="Arial"/>
        </w:rPr>
        <w:t>ACh</w:t>
      </w:r>
      <w:proofErr w:type="spellEnd"/>
      <w:r>
        <w:rPr>
          <w:rFonts w:ascii="Arial" w:hAnsi="Arial" w:cs="Arial"/>
        </w:rPr>
        <w:t>-Moleküle lösen sich von den Rezeptoren</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8551E4" w:rsidP="007C7B1D">
      <w:pPr>
        <w:pStyle w:val="Listenabsatz"/>
        <w:spacing w:after="0" w:line="240" w:lineRule="auto"/>
        <w:ind w:left="360"/>
        <w:contextualSpacing w:val="0"/>
        <w:jc w:val="center"/>
        <w:rPr>
          <w:rFonts w:ascii="Arial" w:hAnsi="Arial" w:cs="Arial"/>
        </w:rPr>
      </w:pPr>
      <w:proofErr w:type="spellStart"/>
      <w:r>
        <w:rPr>
          <w:rFonts w:ascii="Arial" w:hAnsi="Arial" w:cs="Arial"/>
        </w:rPr>
        <w:t>ACh-Esterase</w:t>
      </w:r>
      <w:proofErr w:type="spellEnd"/>
      <w:r>
        <w:rPr>
          <w:rFonts w:ascii="Arial" w:hAnsi="Arial" w:cs="Arial"/>
        </w:rPr>
        <w:t xml:space="preserve"> spaltet </w:t>
      </w:r>
      <w:proofErr w:type="spellStart"/>
      <w:r>
        <w:rPr>
          <w:rFonts w:ascii="Arial" w:hAnsi="Arial" w:cs="Arial"/>
        </w:rPr>
        <w:t>ACh</w:t>
      </w:r>
      <w:proofErr w:type="spellEnd"/>
      <w:r w:rsidR="00770D08">
        <w:rPr>
          <w:rFonts w:ascii="Arial" w:hAnsi="Arial" w:cs="Arial"/>
        </w:rPr>
        <w:t xml:space="preserve"> in Acetat</w:t>
      </w:r>
      <w:r>
        <w:rPr>
          <w:rFonts w:ascii="Arial" w:hAnsi="Arial" w:cs="Arial"/>
        </w:rPr>
        <w:t xml:space="preserve"> und </w:t>
      </w:r>
      <w:proofErr w:type="spellStart"/>
      <w:r>
        <w:rPr>
          <w:rFonts w:ascii="Arial" w:hAnsi="Arial" w:cs="Arial"/>
        </w:rPr>
        <w:t>Cholin</w:t>
      </w:r>
      <w:proofErr w:type="spellEnd"/>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8551E4" w:rsidRDefault="00943206" w:rsidP="007C7B1D">
      <w:pPr>
        <w:pStyle w:val="Listenabsatz"/>
        <w:spacing w:after="0" w:line="240" w:lineRule="auto"/>
        <w:ind w:left="360"/>
        <w:contextualSpacing w:val="0"/>
        <w:jc w:val="center"/>
        <w:rPr>
          <w:rFonts w:ascii="Arial" w:hAnsi="Arial" w:cs="Arial"/>
        </w:rPr>
      </w:pPr>
      <w:r>
        <w:rPr>
          <w:rFonts w:ascii="Arial" w:hAnsi="Arial" w:cs="Arial"/>
        </w:rPr>
        <w:t xml:space="preserve">Rückführung des </w:t>
      </w:r>
      <w:proofErr w:type="spellStart"/>
      <w:r>
        <w:rPr>
          <w:rFonts w:ascii="Arial" w:hAnsi="Arial" w:cs="Arial"/>
        </w:rPr>
        <w:t>Cholins</w:t>
      </w:r>
      <w:proofErr w:type="spellEnd"/>
      <w:r w:rsidR="00B10A71">
        <w:rPr>
          <w:rFonts w:ascii="Arial" w:hAnsi="Arial" w:cs="Arial"/>
        </w:rPr>
        <w:t xml:space="preserve"> in die präsynaptische Endigung</w:t>
      </w:r>
    </w:p>
    <w:p w:rsidR="007C7B1D" w:rsidRDefault="007C7B1D" w:rsidP="007C7B1D">
      <w:pPr>
        <w:pStyle w:val="Listenabsatz"/>
        <w:spacing w:after="0" w:line="240" w:lineRule="auto"/>
        <w:ind w:left="360"/>
        <w:contextualSpacing w:val="0"/>
        <w:jc w:val="center"/>
        <w:rPr>
          <w:rFonts w:ascii="Arial" w:hAnsi="Arial" w:cs="Arial"/>
        </w:rPr>
      </w:pPr>
      <w:r>
        <w:rPr>
          <w:rFonts w:ascii="Arial" w:hAnsi="Arial" w:cs="Arial"/>
        </w:rPr>
        <w:sym w:font="Wingdings 3" w:char="F069"/>
      </w:r>
    </w:p>
    <w:p w:rsidR="00C56A96" w:rsidRDefault="00B10A71" w:rsidP="008960A4">
      <w:pPr>
        <w:pStyle w:val="Listenabsatz"/>
        <w:spacing w:after="0" w:line="240" w:lineRule="auto"/>
        <w:ind w:left="360"/>
        <w:contextualSpacing w:val="0"/>
        <w:jc w:val="center"/>
        <w:rPr>
          <w:rFonts w:ascii="Arial" w:hAnsi="Arial" w:cs="Arial"/>
        </w:rPr>
      </w:pPr>
      <w:r>
        <w:rPr>
          <w:rFonts w:ascii="Arial" w:hAnsi="Arial" w:cs="Arial"/>
        </w:rPr>
        <w:t xml:space="preserve">Neusynthese von </w:t>
      </w:r>
      <w:proofErr w:type="spellStart"/>
      <w:r>
        <w:rPr>
          <w:rFonts w:ascii="Arial" w:hAnsi="Arial" w:cs="Arial"/>
        </w:rPr>
        <w:t>ACh</w:t>
      </w:r>
      <w:proofErr w:type="spellEnd"/>
      <w:r>
        <w:rPr>
          <w:rFonts w:ascii="Arial" w:hAnsi="Arial" w:cs="Arial"/>
        </w:rPr>
        <w:t xml:space="preserve"> und Verpackung in Vesikel</w:t>
      </w: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p>
    <w:p w:rsidR="008960A4" w:rsidRDefault="008960A4" w:rsidP="008960A4">
      <w:pPr>
        <w:pStyle w:val="Listenabsatz"/>
        <w:spacing w:after="0" w:line="240" w:lineRule="auto"/>
        <w:ind w:left="360"/>
        <w:contextualSpacing w:val="0"/>
        <w:jc w:val="center"/>
        <w:rPr>
          <w:rFonts w:ascii="Arial" w:hAnsi="Arial" w:cs="Arial"/>
        </w:rPr>
      </w:pPr>
      <w:bookmarkStart w:id="0" w:name="_GoBack"/>
      <w:bookmarkEnd w:id="0"/>
    </w:p>
    <w:p w:rsidR="008960A4" w:rsidRDefault="008960A4" w:rsidP="008960A4">
      <w:pPr>
        <w:pStyle w:val="Listenabsatz"/>
        <w:spacing w:after="0" w:line="240" w:lineRule="auto"/>
        <w:ind w:left="360"/>
        <w:contextualSpacing w:val="0"/>
        <w:jc w:val="center"/>
        <w:rPr>
          <w:rFonts w:ascii="Arial" w:hAnsi="Arial" w:cs="Arial"/>
        </w:rPr>
      </w:pPr>
    </w:p>
    <w:p w:rsidR="007C7B1D" w:rsidRDefault="007C7B1D" w:rsidP="00971B04">
      <w:pPr>
        <w:pStyle w:val="Listenabsatz"/>
        <w:ind w:left="284"/>
        <w:jc w:val="both"/>
        <w:rPr>
          <w:rFonts w:ascii="Arial" w:hAnsi="Arial" w:cs="Arial"/>
        </w:rPr>
      </w:pPr>
      <w:r>
        <w:rPr>
          <w:rFonts w:ascii="Arial" w:hAnsi="Arial" w:cs="Arial"/>
        </w:rPr>
        <w:lastRenderedPageBreak/>
        <w:t>2.</w:t>
      </w:r>
    </w:p>
    <w:p w:rsidR="00AB6FF2" w:rsidRPr="00AB6FF2" w:rsidRDefault="00187734" w:rsidP="00971B04">
      <w:pPr>
        <w:pStyle w:val="Listenabsatz"/>
        <w:ind w:left="284"/>
        <w:jc w:val="both"/>
      </w:pPr>
      <w:r w:rsidRPr="007C7B1D">
        <w:rPr>
          <w:rFonts w:ascii="Arial" w:hAnsi="Arial" w:cs="Arial"/>
        </w:rPr>
        <w:t>Die erste Zeile der Tabelle zeigt die Messwert</w:t>
      </w:r>
      <w:r w:rsidR="00A37941">
        <w:rPr>
          <w:rFonts w:ascii="Arial" w:hAnsi="Arial" w:cs="Arial"/>
        </w:rPr>
        <w:t xml:space="preserve">e </w:t>
      </w:r>
      <w:r w:rsidRPr="007C7B1D">
        <w:rPr>
          <w:rFonts w:ascii="Arial" w:hAnsi="Arial" w:cs="Arial"/>
        </w:rPr>
        <w:t xml:space="preserve">an einer cholinergen Synapse nach Ankunft eines einzelnen Impulses ohne den Einfluss von Physostigmin. </w:t>
      </w:r>
      <w:r w:rsidR="00A37941">
        <w:rPr>
          <w:rFonts w:ascii="Arial" w:hAnsi="Arial" w:cs="Arial"/>
        </w:rPr>
        <w:br/>
      </w:r>
      <w:r w:rsidRPr="007C7B1D">
        <w:rPr>
          <w:rFonts w:ascii="Arial" w:hAnsi="Arial" w:cs="Arial"/>
        </w:rPr>
        <w:t xml:space="preserve">Das </w:t>
      </w:r>
      <w:r w:rsidR="00CC06A1">
        <w:rPr>
          <w:rFonts w:ascii="Arial" w:hAnsi="Arial" w:cs="Arial"/>
        </w:rPr>
        <w:t>Aktionspotenzial (</w:t>
      </w:r>
      <w:r w:rsidRPr="007C7B1D">
        <w:rPr>
          <w:rFonts w:ascii="Arial" w:hAnsi="Arial" w:cs="Arial"/>
        </w:rPr>
        <w:t>AP</w:t>
      </w:r>
      <w:r w:rsidR="00CC06A1">
        <w:rPr>
          <w:rFonts w:ascii="Arial" w:hAnsi="Arial" w:cs="Arial"/>
        </w:rPr>
        <w:t>)</w:t>
      </w:r>
      <w:r w:rsidRPr="007C7B1D">
        <w:rPr>
          <w:rFonts w:ascii="Arial" w:hAnsi="Arial" w:cs="Arial"/>
        </w:rPr>
        <w:t xml:space="preserve"> kommt an der präsynaptischen Membran an und durch die in Nr.1 beschriebene Signalkaskade kommt es </w:t>
      </w:r>
      <w:r w:rsidR="00FC1A10" w:rsidRPr="007C7B1D">
        <w:rPr>
          <w:rFonts w:ascii="Arial" w:hAnsi="Arial" w:cs="Arial"/>
        </w:rPr>
        <w:t xml:space="preserve">ca. 3 </w:t>
      </w:r>
      <w:proofErr w:type="spellStart"/>
      <w:r w:rsidR="00FC1A10" w:rsidRPr="007C7B1D">
        <w:rPr>
          <w:rFonts w:ascii="Arial" w:hAnsi="Arial" w:cs="Arial"/>
        </w:rPr>
        <w:t>ms</w:t>
      </w:r>
      <w:proofErr w:type="spellEnd"/>
      <w:r w:rsidR="00FC1A10" w:rsidRPr="007C7B1D">
        <w:rPr>
          <w:rFonts w:ascii="Arial" w:hAnsi="Arial" w:cs="Arial"/>
        </w:rPr>
        <w:t xml:space="preserve"> später </w:t>
      </w:r>
      <w:r w:rsidRPr="007C7B1D">
        <w:rPr>
          <w:rFonts w:ascii="Arial" w:hAnsi="Arial" w:cs="Arial"/>
        </w:rPr>
        <w:t>an der postsynapti</w:t>
      </w:r>
      <w:r w:rsidR="00A37941">
        <w:rPr>
          <w:rFonts w:ascii="Arial" w:hAnsi="Arial" w:cs="Arial"/>
        </w:rPr>
        <w:t xml:space="preserve">schen Membran zu einem postsynaptischen Potenzial (PSP), das groß genug ist, um am </w:t>
      </w:r>
      <w:r w:rsidRPr="007C7B1D">
        <w:rPr>
          <w:rFonts w:ascii="Arial" w:hAnsi="Arial" w:cs="Arial"/>
        </w:rPr>
        <w:t xml:space="preserve"> Axonhügel des postsynaptischen </w:t>
      </w:r>
      <w:r w:rsidR="00A37941">
        <w:rPr>
          <w:rFonts w:ascii="Arial" w:hAnsi="Arial" w:cs="Arial"/>
        </w:rPr>
        <w:t>Neurons ein einzelnes AP zu generieren.</w:t>
      </w:r>
      <w:r w:rsidR="00AB6FF2" w:rsidRPr="007C7B1D">
        <w:rPr>
          <w:rFonts w:ascii="Arial" w:hAnsi="Arial" w:cs="Arial"/>
        </w:rPr>
        <w:t xml:space="preserve"> </w:t>
      </w:r>
      <w:r w:rsidR="00E0024E">
        <w:rPr>
          <w:rFonts w:ascii="Arial" w:hAnsi="Arial" w:cs="Arial"/>
        </w:rPr>
        <w:br/>
      </w:r>
      <w:r w:rsidR="00AB6FF2" w:rsidRPr="007C7B1D">
        <w:rPr>
          <w:rFonts w:ascii="Arial" w:hAnsi="Arial" w:cs="Arial"/>
        </w:rPr>
        <w:t xml:space="preserve">An der postsynaptischen Membran sinkt die Spannung nach </w:t>
      </w:r>
      <w:r w:rsidR="00FC1A10" w:rsidRPr="007C7B1D">
        <w:rPr>
          <w:rFonts w:ascii="Arial" w:hAnsi="Arial" w:cs="Arial"/>
        </w:rPr>
        <w:t xml:space="preserve">insgesamt </w:t>
      </w:r>
      <w:r w:rsidR="00AB6FF2" w:rsidRPr="007C7B1D">
        <w:rPr>
          <w:rFonts w:ascii="Arial" w:hAnsi="Arial" w:cs="Arial"/>
        </w:rPr>
        <w:t xml:space="preserve">ca. 15 </w:t>
      </w:r>
      <w:proofErr w:type="spellStart"/>
      <w:r w:rsidR="00AB6FF2" w:rsidRPr="007C7B1D">
        <w:rPr>
          <w:rFonts w:ascii="Arial" w:hAnsi="Arial" w:cs="Arial"/>
        </w:rPr>
        <w:t>ms</w:t>
      </w:r>
      <w:proofErr w:type="spellEnd"/>
      <w:r w:rsidR="00AB6FF2" w:rsidRPr="007C7B1D">
        <w:rPr>
          <w:rFonts w:ascii="Arial" w:hAnsi="Arial" w:cs="Arial"/>
        </w:rPr>
        <w:t xml:space="preserve"> wieder auf den Wert des Ruhepotenzials.</w:t>
      </w:r>
      <w:r w:rsidRPr="007C7B1D">
        <w:rPr>
          <w:rFonts w:ascii="Arial" w:hAnsi="Arial" w:cs="Arial"/>
        </w:rPr>
        <w:t xml:space="preserve"> </w:t>
      </w:r>
      <w:r w:rsidR="00AB6FF2" w:rsidRPr="007C7B1D">
        <w:rPr>
          <w:rFonts w:ascii="Arial" w:hAnsi="Arial" w:cs="Arial"/>
        </w:rPr>
        <w:t xml:space="preserve">Diese Repolarisation ist </w:t>
      </w:r>
      <w:r w:rsidR="000F71AE" w:rsidRPr="007C7B1D">
        <w:rPr>
          <w:rFonts w:ascii="Arial" w:hAnsi="Arial" w:cs="Arial"/>
        </w:rPr>
        <w:t xml:space="preserve">unter anderem </w:t>
      </w:r>
      <w:r w:rsidR="00AB6FF2" w:rsidRPr="007C7B1D">
        <w:rPr>
          <w:rFonts w:ascii="Arial" w:hAnsi="Arial" w:cs="Arial"/>
        </w:rPr>
        <w:t xml:space="preserve">durch die Wirkung der </w:t>
      </w:r>
      <w:proofErr w:type="spellStart"/>
      <w:r w:rsidR="00AB6FF2" w:rsidRPr="007C7B1D">
        <w:rPr>
          <w:rFonts w:ascii="Arial" w:hAnsi="Arial" w:cs="Arial"/>
        </w:rPr>
        <w:t>Acetylcholinesterase</w:t>
      </w:r>
      <w:proofErr w:type="spellEnd"/>
      <w:r w:rsidR="00AB6FF2" w:rsidRPr="007C7B1D">
        <w:rPr>
          <w:rFonts w:ascii="Arial" w:hAnsi="Arial" w:cs="Arial"/>
        </w:rPr>
        <w:t xml:space="preserve"> zu erklären, welche das Acetylcholin abbaut, wodurch sich die Natriumionen-Kanäle wieder schließen. </w:t>
      </w:r>
    </w:p>
    <w:p w:rsidR="00FC1A10" w:rsidRDefault="00AB6FF2" w:rsidP="00971B04">
      <w:pPr>
        <w:pStyle w:val="Listenabsatz"/>
        <w:ind w:left="284"/>
        <w:jc w:val="both"/>
        <w:rPr>
          <w:rFonts w:ascii="Arial" w:hAnsi="Arial" w:cs="Arial"/>
        </w:rPr>
      </w:pPr>
      <w:r>
        <w:rPr>
          <w:rFonts w:ascii="Arial" w:hAnsi="Arial" w:cs="Arial"/>
        </w:rPr>
        <w:t xml:space="preserve">Sind geringe Mengen Physostigmin vorhanden, so sieht man nach der Ankunft eines </w:t>
      </w:r>
      <w:r w:rsidR="00FC1A10">
        <w:rPr>
          <w:rFonts w:ascii="Arial" w:hAnsi="Arial" w:cs="Arial"/>
        </w:rPr>
        <w:t xml:space="preserve">einzelnen </w:t>
      </w:r>
      <w:r>
        <w:rPr>
          <w:rFonts w:ascii="Arial" w:hAnsi="Arial" w:cs="Arial"/>
        </w:rPr>
        <w:t>Impulse</w:t>
      </w:r>
      <w:r w:rsidR="000F71AE">
        <w:rPr>
          <w:rFonts w:ascii="Arial" w:hAnsi="Arial" w:cs="Arial"/>
        </w:rPr>
        <w:t>s an der pr</w:t>
      </w:r>
      <w:r>
        <w:rPr>
          <w:rFonts w:ascii="Arial" w:hAnsi="Arial" w:cs="Arial"/>
        </w:rPr>
        <w:t xml:space="preserve">äsynaptischen Membran ebenfalls eine Depolarisation der postsynaptischen Membran. Hier findet die Repolarisation allerdings sehr viel langsamer statt, </w:t>
      </w:r>
      <w:r w:rsidR="00DC0594">
        <w:rPr>
          <w:rFonts w:ascii="Arial" w:hAnsi="Arial" w:cs="Arial"/>
        </w:rPr>
        <w:t xml:space="preserve">das Schwellenpotenzial wird erst nach ca. 23 </w:t>
      </w:r>
      <w:proofErr w:type="spellStart"/>
      <w:r w:rsidR="00DC0594">
        <w:rPr>
          <w:rFonts w:ascii="Arial" w:hAnsi="Arial" w:cs="Arial"/>
        </w:rPr>
        <w:t>ms</w:t>
      </w:r>
      <w:proofErr w:type="spellEnd"/>
      <w:r w:rsidR="00DC0594">
        <w:rPr>
          <w:rFonts w:ascii="Arial" w:hAnsi="Arial" w:cs="Arial"/>
        </w:rPr>
        <w:t xml:space="preserve"> unterschritten</w:t>
      </w:r>
      <w:r>
        <w:rPr>
          <w:rFonts w:ascii="Arial" w:hAnsi="Arial" w:cs="Arial"/>
        </w:rPr>
        <w:t>. Das hat zu</w:t>
      </w:r>
      <w:r w:rsidR="000F71AE">
        <w:rPr>
          <w:rFonts w:ascii="Arial" w:hAnsi="Arial" w:cs="Arial"/>
        </w:rPr>
        <w:t>r</w:t>
      </w:r>
      <w:r>
        <w:rPr>
          <w:rFonts w:ascii="Arial" w:hAnsi="Arial" w:cs="Arial"/>
        </w:rPr>
        <w:t xml:space="preserve"> Folge, dass am Axonhügel des postsyna</w:t>
      </w:r>
      <w:r w:rsidR="00CC06A1">
        <w:rPr>
          <w:rFonts w:ascii="Arial" w:hAnsi="Arial" w:cs="Arial"/>
        </w:rPr>
        <w:t>ptischen Neurons gleich drei AP</w:t>
      </w:r>
      <w:r>
        <w:rPr>
          <w:rFonts w:ascii="Arial" w:hAnsi="Arial" w:cs="Arial"/>
        </w:rPr>
        <w:t xml:space="preserve"> hintereinander generiert werden. </w:t>
      </w:r>
      <w:r w:rsidR="00FC1A10">
        <w:rPr>
          <w:rFonts w:ascii="Arial" w:hAnsi="Arial" w:cs="Arial"/>
        </w:rPr>
        <w:t xml:space="preserve">Bei einer großen Menge Gift erfolgt die Repolarisation der postsynaptischen Membran noch viel langsamer, </w:t>
      </w:r>
      <w:r w:rsidR="00DC0594">
        <w:rPr>
          <w:rFonts w:ascii="Arial" w:hAnsi="Arial" w:cs="Arial"/>
        </w:rPr>
        <w:t>das PSP bleibt im gemessenen Zeitraum stets über dem Schwellenpotenzial</w:t>
      </w:r>
      <w:r w:rsidR="00FC1A10">
        <w:rPr>
          <w:rFonts w:ascii="Arial" w:hAnsi="Arial" w:cs="Arial"/>
        </w:rPr>
        <w:t>, sodass in d</w:t>
      </w:r>
      <w:r w:rsidR="00CC06A1">
        <w:rPr>
          <w:rFonts w:ascii="Arial" w:hAnsi="Arial" w:cs="Arial"/>
        </w:rPr>
        <w:t>er aufgezeichneten Zeit vier AP</w:t>
      </w:r>
      <w:r w:rsidR="00FC1A10">
        <w:rPr>
          <w:rFonts w:ascii="Arial" w:hAnsi="Arial" w:cs="Arial"/>
        </w:rPr>
        <w:t xml:space="preserve"> am Axonhügel gemessen wurden. </w:t>
      </w:r>
    </w:p>
    <w:p w:rsidR="00FC1A10" w:rsidRDefault="00FC1A10" w:rsidP="00971B04">
      <w:pPr>
        <w:pStyle w:val="Listenabsatz"/>
        <w:ind w:left="284"/>
        <w:jc w:val="both"/>
        <w:rPr>
          <w:rFonts w:ascii="Arial" w:hAnsi="Arial" w:cs="Arial"/>
        </w:rPr>
      </w:pPr>
      <w:r>
        <w:rPr>
          <w:rFonts w:ascii="Arial" w:hAnsi="Arial" w:cs="Arial"/>
        </w:rPr>
        <w:t>Kommt am präsynaptischen Neuron kein Signal an, so hat das</w:t>
      </w:r>
      <w:r w:rsidR="00DE6354">
        <w:rPr>
          <w:rFonts w:ascii="Arial" w:hAnsi="Arial" w:cs="Arial"/>
        </w:rPr>
        <w:t xml:space="preserve"> Physostigmin auf diese </w:t>
      </w:r>
      <w:proofErr w:type="spellStart"/>
      <w:r w:rsidR="00DE6354">
        <w:rPr>
          <w:rFonts w:ascii="Arial" w:hAnsi="Arial" w:cs="Arial"/>
        </w:rPr>
        <w:t>unerregt</w:t>
      </w:r>
      <w:r>
        <w:rPr>
          <w:rFonts w:ascii="Arial" w:hAnsi="Arial" w:cs="Arial"/>
        </w:rPr>
        <w:t>e</w:t>
      </w:r>
      <w:proofErr w:type="spellEnd"/>
      <w:r>
        <w:rPr>
          <w:rFonts w:ascii="Arial" w:hAnsi="Arial" w:cs="Arial"/>
        </w:rPr>
        <w:t xml:space="preserve"> cholinergen Synapse keinen Effekt.</w:t>
      </w:r>
    </w:p>
    <w:p w:rsidR="00FC1A10" w:rsidRDefault="00FC1A10" w:rsidP="00B10A71">
      <w:pPr>
        <w:pStyle w:val="Listenabsatz"/>
        <w:ind w:left="360"/>
        <w:jc w:val="both"/>
        <w:rPr>
          <w:rFonts w:ascii="Arial" w:hAnsi="Arial" w:cs="Arial"/>
        </w:rPr>
      </w:pPr>
    </w:p>
    <w:p w:rsidR="00FC1A10" w:rsidRDefault="00FC1A10" w:rsidP="00B10A71">
      <w:pPr>
        <w:pStyle w:val="Listenabsatz"/>
        <w:ind w:left="360"/>
        <w:jc w:val="both"/>
        <w:rPr>
          <w:rFonts w:ascii="Arial" w:hAnsi="Arial" w:cs="Arial"/>
        </w:rPr>
      </w:pPr>
      <w:r>
        <w:rPr>
          <w:rFonts w:ascii="Arial" w:hAnsi="Arial" w:cs="Arial"/>
        </w:rPr>
        <w:t xml:space="preserve">Die langsame Repolarisation an der postsynaptischen Membran und die damit einhergehende mehrfache </w:t>
      </w:r>
      <w:r w:rsidR="00DE6354">
        <w:rPr>
          <w:rFonts w:ascii="Arial" w:hAnsi="Arial" w:cs="Arial"/>
        </w:rPr>
        <w:t>Generierung von APs am Axonhü</w:t>
      </w:r>
      <w:r>
        <w:rPr>
          <w:rFonts w:ascii="Arial" w:hAnsi="Arial" w:cs="Arial"/>
        </w:rPr>
        <w:t>g</w:t>
      </w:r>
      <w:r w:rsidR="00DE6354">
        <w:rPr>
          <w:rFonts w:ascii="Arial" w:hAnsi="Arial" w:cs="Arial"/>
        </w:rPr>
        <w:t>el des postsynaptischen Neurons sind unter normalen Umständen Folge einer erhöhten Ausschüttung von Ace</w:t>
      </w:r>
      <w:r w:rsidR="00CC06A1">
        <w:rPr>
          <w:rFonts w:ascii="Arial" w:hAnsi="Arial" w:cs="Arial"/>
        </w:rPr>
        <w:t>tylcholin infolge vermehrter AP</w:t>
      </w:r>
      <w:r w:rsidR="00DE6354">
        <w:rPr>
          <w:rFonts w:ascii="Arial" w:hAnsi="Arial" w:cs="Arial"/>
        </w:rPr>
        <w:t xml:space="preserve"> am präsynaptischen Neuron. Da hier allerdings in allen drei Fällen das präsyna</w:t>
      </w:r>
      <w:r w:rsidR="000F71AE">
        <w:rPr>
          <w:rFonts w:ascii="Arial" w:hAnsi="Arial" w:cs="Arial"/>
        </w:rPr>
        <w:t>p</w:t>
      </w:r>
      <w:r w:rsidR="00DE6354">
        <w:rPr>
          <w:rFonts w:ascii="Arial" w:hAnsi="Arial" w:cs="Arial"/>
        </w:rPr>
        <w:t>tische Neuron mit nur einem einzelnen Impuls gereizt wurde und die ausgeschüttete Menge an Acetylcholin immer dieselbe war, kann die verzögerte Repolarisation nur durch ein längeres Verweilen des Acetylcholins im synaptischen Spalt und somit auch ein längeres Öffnen der Natriumionen-Kanäle erklärt werden. Ursa</w:t>
      </w:r>
      <w:r w:rsidR="000F71AE">
        <w:rPr>
          <w:rFonts w:ascii="Arial" w:hAnsi="Arial" w:cs="Arial"/>
        </w:rPr>
        <w:t xml:space="preserve">che könnte </w:t>
      </w:r>
      <w:r w:rsidR="00DE6354">
        <w:rPr>
          <w:rFonts w:ascii="Arial" w:hAnsi="Arial" w:cs="Arial"/>
        </w:rPr>
        <w:t xml:space="preserve">hier eine Hemmung der </w:t>
      </w:r>
      <w:proofErr w:type="spellStart"/>
      <w:r w:rsidR="00DE6354">
        <w:rPr>
          <w:rFonts w:ascii="Arial" w:hAnsi="Arial" w:cs="Arial"/>
        </w:rPr>
        <w:t>Acetylcholinesterase</w:t>
      </w:r>
      <w:proofErr w:type="spellEnd"/>
      <w:r w:rsidR="00DE6354">
        <w:rPr>
          <w:rFonts w:ascii="Arial" w:hAnsi="Arial" w:cs="Arial"/>
        </w:rPr>
        <w:t xml:space="preserve"> sein, was auch das Ausb</w:t>
      </w:r>
      <w:r w:rsidR="000F71AE">
        <w:rPr>
          <w:rFonts w:ascii="Arial" w:hAnsi="Arial" w:cs="Arial"/>
        </w:rPr>
        <w:t>leiben der Wirkung bei Nichtreiz</w:t>
      </w:r>
      <w:r w:rsidR="00DE6354">
        <w:rPr>
          <w:rFonts w:ascii="Arial" w:hAnsi="Arial" w:cs="Arial"/>
        </w:rPr>
        <w:t xml:space="preserve">ung des präsynaptischen Neurons erklärt. </w:t>
      </w:r>
      <w:r w:rsidR="00971B04">
        <w:rPr>
          <w:rFonts w:ascii="Arial" w:hAnsi="Arial" w:cs="Arial"/>
        </w:rPr>
        <w:br/>
      </w:r>
      <w:r w:rsidR="000F71AE">
        <w:rPr>
          <w:rFonts w:ascii="Arial" w:hAnsi="Arial" w:cs="Arial"/>
        </w:rPr>
        <w:t xml:space="preserve">Es handelt sich hierbei </w:t>
      </w:r>
      <w:r w:rsidR="004F07D0">
        <w:rPr>
          <w:rFonts w:ascii="Arial" w:hAnsi="Arial" w:cs="Arial"/>
        </w:rPr>
        <w:t xml:space="preserve">vermutlich </w:t>
      </w:r>
      <w:r w:rsidR="000F71AE">
        <w:rPr>
          <w:rFonts w:ascii="Arial" w:hAnsi="Arial" w:cs="Arial"/>
        </w:rPr>
        <w:t>um</w:t>
      </w:r>
      <w:r w:rsidR="00DE6354">
        <w:rPr>
          <w:rFonts w:ascii="Arial" w:hAnsi="Arial" w:cs="Arial"/>
        </w:rPr>
        <w:t xml:space="preserve"> eine kompetitive Hemmung, denn </w:t>
      </w:r>
      <w:r w:rsidR="000F71AE">
        <w:rPr>
          <w:rFonts w:ascii="Arial" w:hAnsi="Arial" w:cs="Arial"/>
        </w:rPr>
        <w:t>zum e</w:t>
      </w:r>
      <w:r w:rsidR="00DE6354">
        <w:rPr>
          <w:rFonts w:ascii="Arial" w:hAnsi="Arial" w:cs="Arial"/>
        </w:rPr>
        <w:t xml:space="preserve">inen ist die Wirkung reversibel, was die Messung bei kleinen Mengen zeigt, und zum anderen zeigt die Messung bei großen Mengen, dass je höher die Menge des Giftes ist, desto geringer die Wahrscheinlichkeit wird, dass das Enzym das eigentliche Substrat, das Acetylcholin, umsetzt. </w:t>
      </w:r>
    </w:p>
    <w:p w:rsidR="00680DD3" w:rsidRPr="008E272D" w:rsidRDefault="00F652D2" w:rsidP="008960A4">
      <w:pPr>
        <w:pStyle w:val="Listenabsatz"/>
        <w:ind w:left="360"/>
        <w:jc w:val="both"/>
        <w:rPr>
          <w:rFonts w:ascii="Arial" w:hAnsi="Arial" w:cs="Arial"/>
        </w:rPr>
      </w:pPr>
      <w:r>
        <w:rPr>
          <w:rFonts w:ascii="Arial" w:hAnsi="Arial" w:cs="Arial"/>
        </w:rPr>
        <w:t>Die Folgen der Wirkung des Phys</w:t>
      </w:r>
      <w:r w:rsidR="005C6AEE">
        <w:rPr>
          <w:rFonts w:ascii="Arial" w:hAnsi="Arial" w:cs="Arial"/>
        </w:rPr>
        <w:t xml:space="preserve">ostigmins sind heftige </w:t>
      </w:r>
      <w:proofErr w:type="spellStart"/>
      <w:r w:rsidR="005C6AEE">
        <w:rPr>
          <w:rFonts w:ascii="Arial" w:hAnsi="Arial" w:cs="Arial"/>
        </w:rPr>
        <w:t>Krämpfe</w:t>
      </w:r>
      <w:proofErr w:type="spellEnd"/>
      <w:r w:rsidR="005C6AEE">
        <w:rPr>
          <w:rFonts w:ascii="Arial" w:hAnsi="Arial" w:cs="Arial"/>
        </w:rPr>
        <w:t xml:space="preserve">. Ist die Atemmuskulatur betroffen, kann dies zum Tod durch </w:t>
      </w:r>
      <w:r w:rsidR="00680DD3">
        <w:rPr>
          <w:rFonts w:ascii="Arial" w:hAnsi="Arial" w:cs="Arial"/>
        </w:rPr>
        <w:t>Atemstills</w:t>
      </w:r>
      <w:r w:rsidR="00297DEC">
        <w:rPr>
          <w:rFonts w:ascii="Arial" w:hAnsi="Arial" w:cs="Arial"/>
        </w:rPr>
        <w:t>t</w:t>
      </w:r>
      <w:r w:rsidR="00680DD3">
        <w:rPr>
          <w:rFonts w:ascii="Arial" w:hAnsi="Arial" w:cs="Arial"/>
        </w:rPr>
        <w:t>and</w:t>
      </w:r>
      <w:r w:rsidR="008960A4">
        <w:rPr>
          <w:rFonts w:ascii="Arial" w:hAnsi="Arial" w:cs="Arial"/>
        </w:rPr>
        <w:t xml:space="preserve"> führen.</w:t>
      </w:r>
    </w:p>
    <w:p w:rsidR="00971B04" w:rsidRDefault="00971B04" w:rsidP="00971B04">
      <w:pPr>
        <w:jc w:val="both"/>
        <w:rPr>
          <w:rFonts w:ascii="Arial" w:hAnsi="Arial" w:cs="Arial"/>
        </w:rPr>
      </w:pPr>
      <w:r>
        <w:rPr>
          <w:rFonts w:ascii="Arial" w:hAnsi="Arial" w:cs="Arial"/>
        </w:rPr>
        <w:t>3.</w:t>
      </w:r>
    </w:p>
    <w:p w:rsidR="0042457D" w:rsidRDefault="00680DD3" w:rsidP="00971B04">
      <w:pPr>
        <w:jc w:val="both"/>
        <w:rPr>
          <w:rFonts w:ascii="Arial" w:hAnsi="Arial" w:cs="Arial"/>
        </w:rPr>
      </w:pPr>
      <w:r w:rsidRPr="00971B04">
        <w:rPr>
          <w:rFonts w:ascii="Arial" w:hAnsi="Arial" w:cs="Arial"/>
        </w:rPr>
        <w:t xml:space="preserve">Atropin konkurriert mit dem Acetylcholin um die Bindestellen der </w:t>
      </w:r>
      <w:proofErr w:type="spellStart"/>
      <w:r w:rsidRPr="00971B04">
        <w:rPr>
          <w:rFonts w:ascii="Arial" w:hAnsi="Arial" w:cs="Arial"/>
        </w:rPr>
        <w:t>ligandengesteuerten</w:t>
      </w:r>
      <w:proofErr w:type="spellEnd"/>
      <w:r w:rsidRPr="00971B04">
        <w:rPr>
          <w:rFonts w:ascii="Arial" w:hAnsi="Arial" w:cs="Arial"/>
        </w:rPr>
        <w:t xml:space="preserve"> Natrium</w:t>
      </w:r>
      <w:r w:rsidR="006D7BC0">
        <w:rPr>
          <w:rFonts w:ascii="Arial" w:hAnsi="Arial" w:cs="Arial"/>
        </w:rPr>
        <w:t>ionen-K</w:t>
      </w:r>
      <w:r w:rsidRPr="00971B04">
        <w:rPr>
          <w:rFonts w:ascii="Arial" w:hAnsi="Arial" w:cs="Arial"/>
        </w:rPr>
        <w:t xml:space="preserve">anäle, </w:t>
      </w:r>
      <w:r w:rsidR="00B10A71" w:rsidRPr="00971B04">
        <w:rPr>
          <w:rFonts w:ascii="Arial" w:hAnsi="Arial" w:cs="Arial"/>
        </w:rPr>
        <w:t>kann diese selbst aber nicht öffnen</w:t>
      </w:r>
      <w:r w:rsidR="005C6AEE">
        <w:rPr>
          <w:rFonts w:ascii="Arial" w:hAnsi="Arial" w:cs="Arial"/>
        </w:rPr>
        <w:t xml:space="preserve">. Atropin ist </w:t>
      </w:r>
      <w:r w:rsidR="000F71AE" w:rsidRPr="00971B04">
        <w:rPr>
          <w:rFonts w:ascii="Arial" w:hAnsi="Arial" w:cs="Arial"/>
        </w:rPr>
        <w:t>somit</w:t>
      </w:r>
      <w:r w:rsidR="005C6AEE">
        <w:rPr>
          <w:rFonts w:ascii="Arial" w:hAnsi="Arial" w:cs="Arial"/>
        </w:rPr>
        <w:t xml:space="preserve"> ein</w:t>
      </w:r>
      <w:r w:rsidRPr="00971B04">
        <w:rPr>
          <w:rFonts w:ascii="Arial" w:hAnsi="Arial" w:cs="Arial"/>
        </w:rPr>
        <w:t xml:space="preserve"> kompetiti</w:t>
      </w:r>
      <w:r w:rsidR="007B372A">
        <w:rPr>
          <w:rFonts w:ascii="Arial" w:hAnsi="Arial" w:cs="Arial"/>
        </w:rPr>
        <w:t xml:space="preserve">ver </w:t>
      </w:r>
      <w:r w:rsidR="009F0EF9">
        <w:rPr>
          <w:rFonts w:ascii="Arial" w:hAnsi="Arial" w:cs="Arial"/>
        </w:rPr>
        <w:t>Hemmstoff</w:t>
      </w:r>
      <w:r w:rsidR="00CC06A1">
        <w:rPr>
          <w:rFonts w:ascii="Arial" w:hAnsi="Arial" w:cs="Arial"/>
        </w:rPr>
        <w:t xml:space="preserve">, </w:t>
      </w:r>
      <w:r w:rsidR="006B5B74">
        <w:rPr>
          <w:rFonts w:ascii="Arial" w:hAnsi="Arial" w:cs="Arial"/>
        </w:rPr>
        <w:t xml:space="preserve">der </w:t>
      </w:r>
      <w:r w:rsidR="000F71AE" w:rsidRPr="00971B04">
        <w:rPr>
          <w:rFonts w:ascii="Arial" w:hAnsi="Arial" w:cs="Arial"/>
        </w:rPr>
        <w:t>dazu führt, dass</w:t>
      </w:r>
      <w:r w:rsidR="00AE2DAD" w:rsidRPr="00971B04">
        <w:rPr>
          <w:rFonts w:ascii="Arial" w:hAnsi="Arial" w:cs="Arial"/>
        </w:rPr>
        <w:t xml:space="preserve"> ankommende Impulse</w:t>
      </w:r>
      <w:r w:rsidR="000F71AE" w:rsidRPr="00971B04">
        <w:rPr>
          <w:rFonts w:ascii="Arial" w:hAnsi="Arial" w:cs="Arial"/>
        </w:rPr>
        <w:t xml:space="preserve"> nicht weitergeleitet werden können, da eine Depolarisation der postsynaptischen Membran ausbleibt</w:t>
      </w:r>
      <w:r w:rsidRPr="00971B04">
        <w:rPr>
          <w:rFonts w:ascii="Arial" w:hAnsi="Arial" w:cs="Arial"/>
        </w:rPr>
        <w:t xml:space="preserve">. </w:t>
      </w:r>
      <w:r w:rsidR="006B5B74">
        <w:rPr>
          <w:rFonts w:ascii="Arial" w:hAnsi="Arial" w:cs="Arial"/>
        </w:rPr>
        <w:br/>
      </w:r>
      <w:r w:rsidRPr="00971B04">
        <w:rPr>
          <w:rFonts w:ascii="Arial" w:hAnsi="Arial" w:cs="Arial"/>
        </w:rPr>
        <w:t>Durch die Gabe von Physostigmin wird verhindert, dass das ausgeschüttete Acetylcholin im s</w:t>
      </w:r>
      <w:r w:rsidR="00B10A71" w:rsidRPr="00971B04">
        <w:rPr>
          <w:rFonts w:ascii="Arial" w:hAnsi="Arial" w:cs="Arial"/>
        </w:rPr>
        <w:t xml:space="preserve">ynaptischen Spalt </w:t>
      </w:r>
      <w:r w:rsidR="006D7BC0">
        <w:rPr>
          <w:rFonts w:ascii="Arial" w:hAnsi="Arial" w:cs="Arial"/>
        </w:rPr>
        <w:t xml:space="preserve">der hemmenden Synapsen des Parasympathikus </w:t>
      </w:r>
      <w:r w:rsidR="00B10A71" w:rsidRPr="00971B04">
        <w:rPr>
          <w:rFonts w:ascii="Arial" w:hAnsi="Arial" w:cs="Arial"/>
        </w:rPr>
        <w:t xml:space="preserve">abgebaut wird. Dadurch bleibt </w:t>
      </w:r>
      <w:r w:rsidRPr="00971B04">
        <w:rPr>
          <w:rFonts w:ascii="Arial" w:hAnsi="Arial" w:cs="Arial"/>
        </w:rPr>
        <w:t xml:space="preserve">die Menge an </w:t>
      </w:r>
      <w:proofErr w:type="spellStart"/>
      <w:r w:rsidR="00B10A71" w:rsidRPr="00971B04">
        <w:rPr>
          <w:rFonts w:ascii="Arial" w:hAnsi="Arial" w:cs="Arial"/>
        </w:rPr>
        <w:t>Acetylcholin</w:t>
      </w:r>
      <w:r w:rsidR="006B5B74">
        <w:rPr>
          <w:rFonts w:ascii="Arial" w:hAnsi="Arial" w:cs="Arial"/>
        </w:rPr>
        <w:t>molekülen</w:t>
      </w:r>
      <w:proofErr w:type="spellEnd"/>
      <w:r w:rsidR="006B5B74">
        <w:rPr>
          <w:rFonts w:ascii="Arial" w:hAnsi="Arial" w:cs="Arial"/>
        </w:rPr>
        <w:t xml:space="preserve"> hoch. Diese können den „Konkurrenzkampf“ um die Bindestellen</w:t>
      </w:r>
      <w:r w:rsidR="007B372A">
        <w:rPr>
          <w:rFonts w:ascii="Arial" w:hAnsi="Arial" w:cs="Arial"/>
        </w:rPr>
        <w:t xml:space="preserve"> an den Natrium</w:t>
      </w:r>
      <w:r w:rsidR="00431A5B">
        <w:rPr>
          <w:rFonts w:ascii="Arial" w:hAnsi="Arial" w:cs="Arial"/>
        </w:rPr>
        <w:t>ionen</w:t>
      </w:r>
      <w:r w:rsidR="006D7BC0">
        <w:rPr>
          <w:rFonts w:ascii="Arial" w:hAnsi="Arial" w:cs="Arial"/>
        </w:rPr>
        <w:t>-K</w:t>
      </w:r>
      <w:r w:rsidR="007B372A">
        <w:rPr>
          <w:rFonts w:ascii="Arial" w:hAnsi="Arial" w:cs="Arial"/>
        </w:rPr>
        <w:t>anälen</w:t>
      </w:r>
      <w:r w:rsidR="006B5B74">
        <w:rPr>
          <w:rFonts w:ascii="Arial" w:hAnsi="Arial" w:cs="Arial"/>
        </w:rPr>
        <w:t xml:space="preserve"> </w:t>
      </w:r>
      <w:r w:rsidR="0042457D">
        <w:rPr>
          <w:rFonts w:ascii="Arial" w:hAnsi="Arial" w:cs="Arial"/>
        </w:rPr>
        <w:t>vermehrt gewinnen, Natrium</w:t>
      </w:r>
      <w:r w:rsidR="00431A5B">
        <w:rPr>
          <w:rFonts w:ascii="Arial" w:hAnsi="Arial" w:cs="Arial"/>
        </w:rPr>
        <w:t>ionen</w:t>
      </w:r>
      <w:r w:rsidR="006D7BC0">
        <w:rPr>
          <w:rFonts w:ascii="Arial" w:hAnsi="Arial" w:cs="Arial"/>
        </w:rPr>
        <w:t>-K</w:t>
      </w:r>
      <w:r w:rsidR="0042457D">
        <w:rPr>
          <w:rFonts w:ascii="Arial" w:hAnsi="Arial" w:cs="Arial"/>
        </w:rPr>
        <w:t>anäle werden geöffnet und Impulse weitergeleitet.</w:t>
      </w:r>
      <w:r w:rsidR="00B10A71" w:rsidRPr="00971B04">
        <w:rPr>
          <w:rFonts w:ascii="Arial" w:hAnsi="Arial" w:cs="Arial"/>
        </w:rPr>
        <w:t xml:space="preserve"> </w:t>
      </w:r>
    </w:p>
    <w:p w:rsidR="0042457D" w:rsidRDefault="0042457D" w:rsidP="00971B04">
      <w:pPr>
        <w:jc w:val="both"/>
        <w:rPr>
          <w:rFonts w:ascii="Arial" w:hAnsi="Arial" w:cs="Arial"/>
        </w:rPr>
      </w:pPr>
    </w:p>
    <w:p w:rsidR="00680DD3" w:rsidRPr="006B5B74" w:rsidRDefault="00680DD3" w:rsidP="00971B04">
      <w:pPr>
        <w:jc w:val="both"/>
        <w:rPr>
          <w:rFonts w:ascii="Arial" w:hAnsi="Arial" w:cs="Arial"/>
        </w:rPr>
      </w:pPr>
    </w:p>
    <w:p w:rsidR="006C7CD9" w:rsidRDefault="006C7CD9" w:rsidP="008E5A0B">
      <w:pPr>
        <w:jc w:val="both"/>
      </w:pPr>
    </w:p>
    <w:sectPr w:rsidR="006C7CD9" w:rsidSect="008960A4">
      <w:head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F4" w:rsidRDefault="003928F4" w:rsidP="00657779">
      <w:pPr>
        <w:spacing w:after="0" w:line="240" w:lineRule="auto"/>
      </w:pPr>
      <w:r>
        <w:separator/>
      </w:r>
    </w:p>
  </w:endnote>
  <w:endnote w:type="continuationSeparator" w:id="0">
    <w:p w:rsidR="003928F4" w:rsidRDefault="003928F4" w:rsidP="0065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F4" w:rsidRDefault="003928F4" w:rsidP="00657779">
      <w:pPr>
        <w:spacing w:after="0" w:line="240" w:lineRule="auto"/>
      </w:pPr>
      <w:r>
        <w:separator/>
      </w:r>
    </w:p>
  </w:footnote>
  <w:footnote w:type="continuationSeparator" w:id="0">
    <w:p w:rsidR="003928F4" w:rsidRDefault="003928F4" w:rsidP="0065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79" w:rsidRDefault="00657779">
    <w:pPr>
      <w:pStyle w:val="Kopfzeile"/>
    </w:pPr>
    <w:r>
      <w:rPr>
        <w:noProof/>
        <w:lang w:eastAsia="de-DE"/>
      </w:rPr>
      <mc:AlternateContent>
        <mc:Choice Requires="wps">
          <w:drawing>
            <wp:anchor distT="0" distB="0" distL="114300" distR="114300" simplePos="0" relativeHeight="251661312" behindDoc="0" locked="0" layoutInCell="1" allowOverlap="1" wp14:anchorId="01D0B0A9" wp14:editId="3E15ECE8">
              <wp:simplePos x="0" y="0"/>
              <wp:positionH relativeFrom="column">
                <wp:posOffset>780379</wp:posOffset>
              </wp:positionH>
              <wp:positionV relativeFrom="paragraph">
                <wp:posOffset>-78946</wp:posOffset>
              </wp:positionV>
              <wp:extent cx="4091016" cy="295991"/>
              <wp:effectExtent l="0" t="0" r="5080" b="88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016" cy="295991"/>
                      </a:xfrm>
                      <a:prstGeom prst="rect">
                        <a:avLst/>
                      </a:prstGeom>
                      <a:solidFill>
                        <a:schemeClr val="bg1">
                          <a:lumMod val="75000"/>
                        </a:schemeClr>
                      </a:solidFill>
                      <a:ln w="9525">
                        <a:noFill/>
                        <a:miter lim="800000"/>
                        <a:headEnd/>
                        <a:tailEnd/>
                      </a:ln>
                    </wps:spPr>
                    <wps:txbx>
                      <w:txbxContent>
                        <w:p w:rsidR="00657779" w:rsidRPr="009B2FF6" w:rsidRDefault="00657779" w:rsidP="00657779">
                          <w:pPr>
                            <w:rPr>
                              <w:rFonts w:ascii="Arial" w:hAnsi="Arial" w:cs="Arial"/>
                              <w:b/>
                              <w:sz w:val="24"/>
                            </w:rPr>
                          </w:pPr>
                          <w:r>
                            <w:rPr>
                              <w:rFonts w:ascii="Arial" w:hAnsi="Arial" w:cs="Arial"/>
                              <w:b/>
                              <w:sz w:val="24"/>
                            </w:rPr>
                            <w:t>Hinweise zum unterrichtlichen Einsatz und Lösungen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1.45pt;margin-top:-6.2pt;width:322.1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" fillcolor="#bfbfbf [2412]" stroked="f">
              <v:textbox>
                <w:txbxContent>
                  <w:p w:rsidR="00657779" w:rsidRPr="009B2FF6" w:rsidRDefault="00657779" w:rsidP="00657779">
                    <w:pPr>
                      <w:rPr>
                        <w:rFonts w:ascii="Arial" w:hAnsi="Arial" w:cs="Arial"/>
                        <w:b/>
                        <w:sz w:val="24"/>
                      </w:rPr>
                    </w:pPr>
                    <w:r>
                      <w:rPr>
                        <w:rFonts w:ascii="Arial" w:hAnsi="Arial" w:cs="Arial"/>
                        <w:b/>
                        <w:sz w:val="24"/>
                      </w:rPr>
                      <w:t>Hinweise zum unterrichtlichen Einsatz und Lösungen</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A2E4BE2" wp14:editId="0D221883">
              <wp:simplePos x="0" y="0"/>
              <wp:positionH relativeFrom="column">
                <wp:posOffset>-54481</wp:posOffset>
              </wp:positionH>
              <wp:positionV relativeFrom="paragraph">
                <wp:posOffset>-146685</wp:posOffset>
              </wp:positionV>
              <wp:extent cx="5810250" cy="428625"/>
              <wp:effectExtent l="57150" t="38100" r="57150" b="85725"/>
              <wp:wrapNone/>
              <wp:docPr id="1" name="Rechteck 1"/>
              <wp:cNvGraphicFramePr/>
              <a:graphic xmlns:a="http://schemas.openxmlformats.org/drawingml/2006/main">
                <a:graphicData uri="http://schemas.microsoft.com/office/word/2010/wordprocessingShape">
                  <wps:wsp>
                    <wps:cNvSpPr/>
                    <wps:spPr>
                      <a:xfrm>
                        <a:off x="0" y="0"/>
                        <a:ext cx="5810250" cy="428625"/>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margin-left:-4.3pt;margin-top:-11.55pt;width:45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" fillcolor="#bfbfbf [2412]" stroked="f">
              <v:shadow on="t" color="black" opacity="24903f" origin=",.5" offset="0,.55556mm"/>
            </v:rect>
          </w:pict>
        </mc:Fallback>
      </mc:AlternateContent>
    </w:r>
  </w:p>
  <w:p w:rsidR="00657779" w:rsidRDefault="006577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566"/>
    <w:multiLevelType w:val="hybridMultilevel"/>
    <w:tmpl w:val="33801352"/>
    <w:lvl w:ilvl="0" w:tplc="D1EAA532">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8C45EB"/>
    <w:multiLevelType w:val="hybridMultilevel"/>
    <w:tmpl w:val="03CAC592"/>
    <w:lvl w:ilvl="0" w:tplc="22C2B8F2">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1C82EE3"/>
    <w:multiLevelType w:val="hybridMultilevel"/>
    <w:tmpl w:val="79E4A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26A7406"/>
    <w:multiLevelType w:val="hybridMultilevel"/>
    <w:tmpl w:val="B314BDE6"/>
    <w:lvl w:ilvl="0" w:tplc="22C2B8F2">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64125A7F"/>
    <w:multiLevelType w:val="hybridMultilevel"/>
    <w:tmpl w:val="E8DABAD8"/>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D9"/>
    <w:rsid w:val="00007356"/>
    <w:rsid w:val="000A0551"/>
    <w:rsid w:val="000F71AE"/>
    <w:rsid w:val="00187734"/>
    <w:rsid w:val="001B3D31"/>
    <w:rsid w:val="001B5F86"/>
    <w:rsid w:val="00217EF6"/>
    <w:rsid w:val="00230F1D"/>
    <w:rsid w:val="002569F0"/>
    <w:rsid w:val="0028656C"/>
    <w:rsid w:val="002916E5"/>
    <w:rsid w:val="00297DEC"/>
    <w:rsid w:val="002C4DB0"/>
    <w:rsid w:val="003928F4"/>
    <w:rsid w:val="0042457D"/>
    <w:rsid w:val="00427ED5"/>
    <w:rsid w:val="00431A5B"/>
    <w:rsid w:val="00481965"/>
    <w:rsid w:val="00483B32"/>
    <w:rsid w:val="004C7070"/>
    <w:rsid w:val="004F07D0"/>
    <w:rsid w:val="00544FD0"/>
    <w:rsid w:val="005C6AEE"/>
    <w:rsid w:val="00606549"/>
    <w:rsid w:val="00657779"/>
    <w:rsid w:val="0067606F"/>
    <w:rsid w:val="00680DD3"/>
    <w:rsid w:val="006B3BCB"/>
    <w:rsid w:val="006B5B74"/>
    <w:rsid w:val="006C7CD9"/>
    <w:rsid w:val="006D7BC0"/>
    <w:rsid w:val="00770D08"/>
    <w:rsid w:val="007B372A"/>
    <w:rsid w:val="007C7B1D"/>
    <w:rsid w:val="007D36D7"/>
    <w:rsid w:val="008551E4"/>
    <w:rsid w:val="008960A4"/>
    <w:rsid w:val="008E272D"/>
    <w:rsid w:val="008E5A0B"/>
    <w:rsid w:val="00943206"/>
    <w:rsid w:val="00971B04"/>
    <w:rsid w:val="009A4120"/>
    <w:rsid w:val="009B618B"/>
    <w:rsid w:val="009F0EF9"/>
    <w:rsid w:val="00A37941"/>
    <w:rsid w:val="00AB6FF2"/>
    <w:rsid w:val="00AE2DAD"/>
    <w:rsid w:val="00B10A71"/>
    <w:rsid w:val="00B67EFD"/>
    <w:rsid w:val="00BD1F0C"/>
    <w:rsid w:val="00C003A4"/>
    <w:rsid w:val="00C56A96"/>
    <w:rsid w:val="00CC06A1"/>
    <w:rsid w:val="00DC0594"/>
    <w:rsid w:val="00DE6354"/>
    <w:rsid w:val="00E0024E"/>
    <w:rsid w:val="00E021A5"/>
    <w:rsid w:val="00E12154"/>
    <w:rsid w:val="00E16BAE"/>
    <w:rsid w:val="00E31E6E"/>
    <w:rsid w:val="00E44503"/>
    <w:rsid w:val="00E928EB"/>
    <w:rsid w:val="00EC383C"/>
    <w:rsid w:val="00ED60DD"/>
    <w:rsid w:val="00F16302"/>
    <w:rsid w:val="00F652D2"/>
    <w:rsid w:val="00F937C1"/>
    <w:rsid w:val="00FC1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7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779"/>
  </w:style>
  <w:style w:type="paragraph" w:styleId="Fuzeile">
    <w:name w:val="footer"/>
    <w:basedOn w:val="Standard"/>
    <w:link w:val="FuzeileZchn"/>
    <w:uiPriority w:val="99"/>
    <w:unhideWhenUsed/>
    <w:rsid w:val="00657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779"/>
  </w:style>
  <w:style w:type="paragraph" w:styleId="Sprechblasentext">
    <w:name w:val="Balloon Text"/>
    <w:basedOn w:val="Standard"/>
    <w:link w:val="SprechblasentextZchn"/>
    <w:uiPriority w:val="99"/>
    <w:semiHidden/>
    <w:unhideWhenUsed/>
    <w:rsid w:val="00657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779"/>
    <w:rPr>
      <w:rFonts w:ascii="Tahoma" w:hAnsi="Tahoma" w:cs="Tahoma"/>
      <w:sz w:val="16"/>
      <w:szCs w:val="16"/>
    </w:rPr>
  </w:style>
  <w:style w:type="paragraph" w:styleId="Listenabsatz">
    <w:name w:val="List Paragraph"/>
    <w:basedOn w:val="Standard"/>
    <w:uiPriority w:val="34"/>
    <w:qFormat/>
    <w:rsid w:val="009A4120"/>
    <w:pPr>
      <w:ind w:left="720"/>
      <w:contextualSpacing/>
    </w:pPr>
  </w:style>
  <w:style w:type="character" w:styleId="Kommentarzeichen">
    <w:name w:val="annotation reference"/>
    <w:basedOn w:val="Absatz-Standardschriftart"/>
    <w:uiPriority w:val="99"/>
    <w:semiHidden/>
    <w:unhideWhenUsed/>
    <w:rsid w:val="00483B32"/>
    <w:rPr>
      <w:sz w:val="16"/>
      <w:szCs w:val="16"/>
    </w:rPr>
  </w:style>
  <w:style w:type="paragraph" w:styleId="Kommentartext">
    <w:name w:val="annotation text"/>
    <w:basedOn w:val="Standard"/>
    <w:link w:val="KommentartextZchn"/>
    <w:uiPriority w:val="99"/>
    <w:semiHidden/>
    <w:unhideWhenUsed/>
    <w:rsid w:val="00483B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B32"/>
    <w:rPr>
      <w:sz w:val="20"/>
      <w:szCs w:val="20"/>
    </w:rPr>
  </w:style>
  <w:style w:type="paragraph" w:styleId="Kommentarthema">
    <w:name w:val="annotation subject"/>
    <w:basedOn w:val="Kommentartext"/>
    <w:next w:val="Kommentartext"/>
    <w:link w:val="KommentarthemaZchn"/>
    <w:uiPriority w:val="99"/>
    <w:semiHidden/>
    <w:unhideWhenUsed/>
    <w:rsid w:val="00483B32"/>
    <w:rPr>
      <w:b/>
      <w:bCs/>
    </w:rPr>
  </w:style>
  <w:style w:type="character" w:customStyle="1" w:styleId="KommentarthemaZchn">
    <w:name w:val="Kommentarthema Zchn"/>
    <w:basedOn w:val="KommentartextZchn"/>
    <w:link w:val="Kommentarthema"/>
    <w:uiPriority w:val="99"/>
    <w:semiHidden/>
    <w:rsid w:val="00483B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7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779"/>
  </w:style>
  <w:style w:type="paragraph" w:styleId="Fuzeile">
    <w:name w:val="footer"/>
    <w:basedOn w:val="Standard"/>
    <w:link w:val="FuzeileZchn"/>
    <w:uiPriority w:val="99"/>
    <w:unhideWhenUsed/>
    <w:rsid w:val="00657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779"/>
  </w:style>
  <w:style w:type="paragraph" w:styleId="Sprechblasentext">
    <w:name w:val="Balloon Text"/>
    <w:basedOn w:val="Standard"/>
    <w:link w:val="SprechblasentextZchn"/>
    <w:uiPriority w:val="99"/>
    <w:semiHidden/>
    <w:unhideWhenUsed/>
    <w:rsid w:val="00657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779"/>
    <w:rPr>
      <w:rFonts w:ascii="Tahoma" w:hAnsi="Tahoma" w:cs="Tahoma"/>
      <w:sz w:val="16"/>
      <w:szCs w:val="16"/>
    </w:rPr>
  </w:style>
  <w:style w:type="paragraph" w:styleId="Listenabsatz">
    <w:name w:val="List Paragraph"/>
    <w:basedOn w:val="Standard"/>
    <w:uiPriority w:val="34"/>
    <w:qFormat/>
    <w:rsid w:val="009A4120"/>
    <w:pPr>
      <w:ind w:left="720"/>
      <w:contextualSpacing/>
    </w:pPr>
  </w:style>
  <w:style w:type="character" w:styleId="Kommentarzeichen">
    <w:name w:val="annotation reference"/>
    <w:basedOn w:val="Absatz-Standardschriftart"/>
    <w:uiPriority w:val="99"/>
    <w:semiHidden/>
    <w:unhideWhenUsed/>
    <w:rsid w:val="00483B32"/>
    <w:rPr>
      <w:sz w:val="16"/>
      <w:szCs w:val="16"/>
    </w:rPr>
  </w:style>
  <w:style w:type="paragraph" w:styleId="Kommentartext">
    <w:name w:val="annotation text"/>
    <w:basedOn w:val="Standard"/>
    <w:link w:val="KommentartextZchn"/>
    <w:uiPriority w:val="99"/>
    <w:semiHidden/>
    <w:unhideWhenUsed/>
    <w:rsid w:val="00483B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B32"/>
    <w:rPr>
      <w:sz w:val="20"/>
      <w:szCs w:val="20"/>
    </w:rPr>
  </w:style>
  <w:style w:type="paragraph" w:styleId="Kommentarthema">
    <w:name w:val="annotation subject"/>
    <w:basedOn w:val="Kommentartext"/>
    <w:next w:val="Kommentartext"/>
    <w:link w:val="KommentarthemaZchn"/>
    <w:uiPriority w:val="99"/>
    <w:semiHidden/>
    <w:unhideWhenUsed/>
    <w:rsid w:val="00483B32"/>
    <w:rPr>
      <w:b/>
      <w:bCs/>
    </w:rPr>
  </w:style>
  <w:style w:type="character" w:customStyle="1" w:styleId="KommentarthemaZchn">
    <w:name w:val="Kommentarthema Zchn"/>
    <w:basedOn w:val="KommentartextZchn"/>
    <w:link w:val="Kommentarthema"/>
    <w:uiPriority w:val="99"/>
    <w:semiHidden/>
    <w:rsid w:val="00483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7E95-9344-4E2B-BD4F-914BDCE8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4343</Characters>
  <Application>Microsoft Office Word</Application>
  <DocSecurity>0</DocSecurity>
  <Lines>120</Lines>
  <Paragraphs>46</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Karow-Hanschke, Diana</cp:lastModifiedBy>
  <cp:revision>5</cp:revision>
  <cp:lastPrinted>2016-06-17T10:35:00Z</cp:lastPrinted>
  <dcterms:created xsi:type="dcterms:W3CDTF">2016-06-28T09:42:00Z</dcterms:created>
  <dcterms:modified xsi:type="dcterms:W3CDTF">2016-06-30T14:37:00Z</dcterms:modified>
</cp:coreProperties>
</file>