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36" w:rsidRPr="005F2294" w:rsidRDefault="006F1136" w:rsidP="006F11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color w:val="FF0000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LÖSUNG:       </w:t>
      </w:r>
      <w:r w:rsidRPr="00647D9A">
        <w:rPr>
          <w:rFonts w:ascii="Arial" w:hAnsi="Arial" w:cs="Arial"/>
          <w:b/>
          <w:i/>
          <w:sz w:val="24"/>
          <w:szCs w:val="24"/>
        </w:rPr>
        <w:t xml:space="preserve">Wie kann aus einer befruchteten Eizelle </w:t>
      </w:r>
      <w:r>
        <w:rPr>
          <w:rFonts w:ascii="Arial" w:hAnsi="Arial" w:cs="Arial"/>
          <w:b/>
          <w:i/>
          <w:sz w:val="24"/>
          <w:szCs w:val="24"/>
        </w:rPr>
        <w:t>die Vielfalt an spezialisierten Zellen entstehen?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6"/>
        <w:gridCol w:w="2689"/>
      </w:tblGrid>
      <w:tr w:rsidR="006F1136" w:rsidTr="00C16FB9">
        <w:tc>
          <w:tcPr>
            <w:tcW w:w="11736" w:type="dxa"/>
            <w:shd w:val="clear" w:color="auto" w:fill="BFBFBF" w:themeFill="background1" w:themeFillShade="BF"/>
          </w:tcPr>
          <w:p w:rsidR="006F1136" w:rsidRPr="009E3D98" w:rsidRDefault="006F1136" w:rsidP="00C16FB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E3D98">
              <w:rPr>
                <w:rFonts w:ascii="Arial" w:hAnsi="Arial" w:cs="Arial"/>
                <w:b/>
                <w:sz w:val="32"/>
                <w:szCs w:val="32"/>
              </w:rPr>
              <w:t xml:space="preserve">           Schritte                                                 Ergebnisse</w:t>
            </w:r>
          </w:p>
        </w:tc>
        <w:tc>
          <w:tcPr>
            <w:tcW w:w="2689" w:type="dxa"/>
            <w:shd w:val="clear" w:color="auto" w:fill="BFBFBF" w:themeFill="background1" w:themeFillShade="BF"/>
          </w:tcPr>
          <w:p w:rsidR="006F1136" w:rsidRPr="009E3D98" w:rsidRDefault="006F1136" w:rsidP="00F1018C">
            <w:pPr>
              <w:ind w:left="-25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Was geschieht?</w:t>
            </w:r>
          </w:p>
        </w:tc>
      </w:tr>
      <w:tr w:rsidR="006F1136" w:rsidTr="00C16FB9">
        <w:tc>
          <w:tcPr>
            <w:tcW w:w="11736" w:type="dxa"/>
          </w:tcPr>
          <w:p w:rsidR="006F1136" w:rsidRDefault="00C42BA2" w:rsidP="00C16FB9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C3EA3" wp14:editId="43BBB501">
                      <wp:simplePos x="0" y="0"/>
                      <wp:positionH relativeFrom="column">
                        <wp:posOffset>4925336</wp:posOffset>
                      </wp:positionH>
                      <wp:positionV relativeFrom="paragraph">
                        <wp:posOffset>614128</wp:posOffset>
                      </wp:positionV>
                      <wp:extent cx="2340142" cy="503582"/>
                      <wp:effectExtent l="38100" t="19050" r="22225" b="106045"/>
                      <wp:wrapNone/>
                      <wp:docPr id="35" name="Gerade Verbindung mit Pfei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0142" cy="503582"/>
                              </a:xfrm>
                              <a:prstGeom prst="straightConnector1">
                                <a:avLst/>
                              </a:prstGeom>
                              <a:ln w="444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35" o:spid="_x0000_s1026" type="#_x0000_t32" style="position:absolute;margin-left:387.8pt;margin-top:48.35pt;width:184.25pt;height:39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" strokecolor="black [3213]" strokeweight="3.5pt">
                      <v:stroke endarrow="open"/>
                    </v:shape>
                  </w:pict>
                </mc:Fallback>
              </mc:AlternateContent>
            </w:r>
            <w:r w:rsidR="002F276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30E80" wp14:editId="32700D55">
                      <wp:simplePos x="0" y="0"/>
                      <wp:positionH relativeFrom="column">
                        <wp:posOffset>7270971</wp:posOffset>
                      </wp:positionH>
                      <wp:positionV relativeFrom="paragraph">
                        <wp:posOffset>309329</wp:posOffset>
                      </wp:positionV>
                      <wp:extent cx="1778000" cy="3074504"/>
                      <wp:effectExtent l="0" t="0" r="12700" b="12065"/>
                      <wp:wrapNone/>
                      <wp:docPr id="2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0" cy="30745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136" w:rsidRPr="002F2766" w:rsidRDefault="006F1136" w:rsidP="00F1018C">
                                  <w:pPr>
                                    <w:spacing w:before="60" w:after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F2766"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Aktivierung </w:t>
                                  </w:r>
                                  <w:r w:rsidR="00F1018C"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  <w:t>und</w:t>
                                  </w:r>
                                  <w:r w:rsidRPr="002F2766"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 Stummschaltung von Genen</w:t>
                                  </w:r>
                                </w:p>
                                <w:p w:rsidR="006F1136" w:rsidRPr="002F2766" w:rsidRDefault="006F1136" w:rsidP="006F113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2F2766">
                                    <w:rPr>
                                      <w:rFonts w:ascii="Arial" w:hAnsi="Arial" w:cs="Arial"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  <w:drawing>
                                      <wp:inline distT="0" distB="0" distL="0" distR="0" wp14:anchorId="0105F7E2" wp14:editId="5D034EC0">
                                        <wp:extent cx="219619" cy="536331"/>
                                        <wp:effectExtent l="0" t="0" r="9525" b="0"/>
                                        <wp:docPr id="31" name="Grafik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710" cy="5365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1018C" w:rsidRDefault="006F1136" w:rsidP="006F1136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F2766"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  <w:t xml:space="preserve">Umsetzung ausgewählter </w:t>
                                  </w:r>
                                </w:p>
                                <w:p w:rsidR="006F1136" w:rsidRPr="002F2766" w:rsidRDefault="00F1018C" w:rsidP="006F1136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  <w:t>Erbi</w:t>
                                  </w:r>
                                  <w:r w:rsidR="006F1136" w:rsidRPr="002F2766"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  <w:t>nformationen</w:t>
                                  </w:r>
                                </w:p>
                                <w:p w:rsidR="006F1136" w:rsidRPr="002F2766" w:rsidRDefault="006F1136" w:rsidP="006F1136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2F2766">
                                    <w:rPr>
                                      <w:rFonts w:ascii="Arial" w:hAnsi="Arial" w:cs="Arial"/>
                                      <w:noProof/>
                                      <w:sz w:val="32"/>
                                      <w:szCs w:val="32"/>
                                      <w:lang w:eastAsia="de-DE"/>
                                    </w:rPr>
                                    <w:drawing>
                                      <wp:inline distT="0" distB="0" distL="0" distR="0" wp14:anchorId="62F0F7B0" wp14:editId="515AFB5F">
                                        <wp:extent cx="219619" cy="334108"/>
                                        <wp:effectExtent l="0" t="0" r="9525" b="0"/>
                                        <wp:docPr id="32" name="Grafik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710" cy="3342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F1136" w:rsidRPr="002F2766" w:rsidRDefault="006F1136" w:rsidP="006F1136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F2766">
                                    <w:rPr>
                                      <w:rFonts w:ascii="Arial Narrow" w:hAnsi="Arial Narrow" w:cs="Arial"/>
                                      <w:b/>
                                      <w:sz w:val="32"/>
                                      <w:szCs w:val="32"/>
                                    </w:rPr>
                                    <w:t>Zellspezialisierung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572.5pt;margin-top:24.35pt;width:140pt;height:2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" strokecolor="black [3213]" strokeweight="1.5pt">
                      <v:textbox>
                        <w:txbxContent>
                          <w:p w:rsidR="006F1136" w:rsidRPr="002F2766" w:rsidRDefault="006F1136" w:rsidP="00F1018C">
                            <w:pPr>
                              <w:spacing w:before="60"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F2766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 xml:space="preserve">Aktivierung </w:t>
                            </w:r>
                            <w:r w:rsidR="00F1018C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und</w:t>
                            </w:r>
                            <w:r w:rsidRPr="002F2766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 xml:space="preserve"> Stummschaltung von Genen</w:t>
                            </w:r>
                          </w:p>
                          <w:p w:rsidR="006F1136" w:rsidRPr="002F2766" w:rsidRDefault="006F1136" w:rsidP="006F113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F2766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0105F7E2" wp14:editId="5D034EC0">
                                  <wp:extent cx="219619" cy="536331"/>
                                  <wp:effectExtent l="0" t="0" r="9525" b="0"/>
                                  <wp:docPr id="31" name="Grafi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0" cy="536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018C" w:rsidRDefault="006F1136" w:rsidP="006F113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F2766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 xml:space="preserve">Umsetzung ausgewählter </w:t>
                            </w:r>
                          </w:p>
                          <w:p w:rsidR="006F1136" w:rsidRPr="002F2766" w:rsidRDefault="00F1018C" w:rsidP="006F113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Erbi</w:t>
                            </w:r>
                            <w:r w:rsidR="006F1136" w:rsidRPr="002F2766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nformationen</w:t>
                            </w:r>
                          </w:p>
                          <w:p w:rsidR="006F1136" w:rsidRPr="002F2766" w:rsidRDefault="006F1136" w:rsidP="006F113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2F2766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62F0F7B0" wp14:editId="515AFB5F">
                                  <wp:extent cx="219619" cy="334108"/>
                                  <wp:effectExtent l="0" t="0" r="9525" b="0"/>
                                  <wp:docPr id="32" name="Grafik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0" cy="334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1136" w:rsidRPr="002F2766" w:rsidRDefault="006F1136" w:rsidP="006F113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F2766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>Zellspezialisierung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136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59CC8" wp14:editId="151C51FE">
                      <wp:simplePos x="0" y="0"/>
                      <wp:positionH relativeFrom="column">
                        <wp:posOffset>6056630</wp:posOffset>
                      </wp:positionH>
                      <wp:positionV relativeFrom="paragraph">
                        <wp:posOffset>2254175</wp:posOffset>
                      </wp:positionV>
                      <wp:extent cx="1218566" cy="206188"/>
                      <wp:effectExtent l="38100" t="19050" r="19685" b="99060"/>
                      <wp:wrapNone/>
                      <wp:docPr id="36" name="Gerade Verbindung mit Pfei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8566" cy="2061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rade Verbindung mit Pfeil 36" o:spid="_x0000_s1026" type="#_x0000_t32" style="position:absolute;margin-left:476.9pt;margin-top:177.5pt;width:95.95pt;height:1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" strokecolor="windowText" strokeweight="3.5pt">
                      <v:stroke endarrow="open"/>
                    </v:shape>
                  </w:pict>
                </mc:Fallback>
              </mc:AlternateContent>
            </w:r>
            <w:r w:rsidR="006F1136">
              <w:object w:dxaOrig="12105" w:dyaOrig="5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4.95pt;height:270.35pt" o:ole="">
                  <v:imagedata r:id="rId7" o:title=""/>
                </v:shape>
                <o:OLEObject Type="Embed" ProgID="PBrush" ShapeID="_x0000_i1025" DrawAspect="Content" ObjectID="_1558255987" r:id="rId8"/>
              </w:object>
            </w:r>
          </w:p>
        </w:tc>
        <w:tc>
          <w:tcPr>
            <w:tcW w:w="2689" w:type="dxa"/>
          </w:tcPr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</w:tc>
      </w:tr>
      <w:tr w:rsidR="006F1136" w:rsidTr="00C16FB9">
        <w:trPr>
          <w:trHeight w:val="1322"/>
        </w:trPr>
        <w:tc>
          <w:tcPr>
            <w:tcW w:w="11736" w:type="dxa"/>
          </w:tcPr>
          <w:p w:rsidR="006F1136" w:rsidRDefault="006F1136" w:rsidP="00C16FB9">
            <w:r>
              <w:rPr>
                <w:noProof/>
                <w:lang w:eastAsia="de-DE"/>
              </w:rPr>
              <w:t xml:space="preserve">                                                                </w:t>
            </w:r>
            <w:r w:rsidR="00F1018C">
              <w:object w:dxaOrig="1305" w:dyaOrig="8040">
                <v:shape id="_x0000_i1026" type="#_x0000_t75" style="width:25.1pt;height:97.1pt" o:ole="">
                  <v:imagedata r:id="rId9" o:title=""/>
                </v:shape>
                <o:OLEObject Type="Embed" ProgID="PBrush" ShapeID="_x0000_i1026" DrawAspect="Content" ObjectID="_1558255988" r:id="rId10"/>
              </w:object>
            </w:r>
            <w:r>
              <w:rPr>
                <w:noProof/>
                <w:lang w:eastAsia="de-DE"/>
              </w:rPr>
              <w:t xml:space="preserve">                            </w:t>
            </w:r>
            <w:r>
              <w:object w:dxaOrig="1110" w:dyaOrig="4305">
                <v:shape id="_x0000_i1027" type="#_x0000_t75" style="width:25.1pt;height:52.95pt" o:ole="">
                  <v:imagedata r:id="rId11" o:title=""/>
                </v:shape>
                <o:OLEObject Type="Embed" ProgID="PBrush" ShapeID="_x0000_i1027" DrawAspect="Content" ObjectID="_1558255989" r:id="rId12"/>
              </w:object>
            </w:r>
            <w:r>
              <w:rPr>
                <w:noProof/>
                <w:lang w:eastAsia="de-DE"/>
              </w:rPr>
              <w:t xml:space="preserve">                     </w:t>
            </w:r>
            <w:r>
              <w:object w:dxaOrig="5625" w:dyaOrig="4905">
                <v:shape id="_x0000_i1028" type="#_x0000_t75" style="width:67.8pt;height:60.4pt" o:ole="">
                  <v:imagedata r:id="rId13" o:title=""/>
                </v:shape>
                <o:OLEObject Type="Embed" ProgID="PBrush" ShapeID="_x0000_i1028" DrawAspect="Content" ObjectID="_1558255990" r:id="rId14"/>
              </w:object>
            </w:r>
            <w:r>
              <w:t xml:space="preserve">          </w:t>
            </w:r>
            <w:r>
              <w:object w:dxaOrig="7215" w:dyaOrig="4215">
                <v:shape id="_x0000_i1029" type="#_x0000_t75" style="width:84.55pt;height:50.15pt" o:ole="">
                  <v:imagedata r:id="rId15" o:title=""/>
                </v:shape>
                <o:OLEObject Type="Embed" ProgID="PBrush" ShapeID="_x0000_i1029" DrawAspect="Content" ObjectID="_1558255991" r:id="rId16"/>
              </w:object>
            </w:r>
          </w:p>
          <w:p w:rsidR="00F1018C" w:rsidRDefault="00F1018C" w:rsidP="00C16FB9"/>
        </w:tc>
        <w:tc>
          <w:tcPr>
            <w:tcW w:w="2689" w:type="dxa"/>
          </w:tcPr>
          <w:p w:rsidR="006F1136" w:rsidRDefault="006F1136" w:rsidP="00F1018C">
            <w:pPr>
              <w:ind w:left="-254"/>
              <w:rPr>
                <w:noProof/>
                <w:lang w:eastAsia="de-DE"/>
              </w:rPr>
            </w:pPr>
          </w:p>
        </w:tc>
      </w:tr>
    </w:tbl>
    <w:p w:rsidR="00F1018C" w:rsidRDefault="00F1018C">
      <w:pPr>
        <w:rPr>
          <w:rFonts w:ascii="Arial" w:hAnsi="Arial" w:cs="Arial"/>
          <w:b/>
        </w:rPr>
      </w:pPr>
    </w:p>
    <w:p w:rsidR="00515587" w:rsidRPr="00515587" w:rsidRDefault="00515587">
      <w:pPr>
        <w:rPr>
          <w:rFonts w:ascii="Arial" w:hAnsi="Arial" w:cs="Arial"/>
          <w:b/>
        </w:rPr>
      </w:pPr>
      <w:r w:rsidRPr="00515587">
        <w:rPr>
          <w:rFonts w:ascii="Arial" w:hAnsi="Arial" w:cs="Arial"/>
          <w:b/>
        </w:rPr>
        <w:lastRenderedPageBreak/>
        <w:t>Mögliche Schülerlösung</w:t>
      </w:r>
      <w:r w:rsidR="00F1018C">
        <w:rPr>
          <w:rFonts w:ascii="Arial" w:hAnsi="Arial" w:cs="Arial"/>
          <w:b/>
        </w:rPr>
        <w:t xml:space="preserve"> zur </w:t>
      </w:r>
      <w:r w:rsidR="006F1136">
        <w:rPr>
          <w:rFonts w:ascii="Arial" w:hAnsi="Arial" w:cs="Arial"/>
          <w:b/>
        </w:rPr>
        <w:t xml:space="preserve"> Aufgabe 2</w:t>
      </w:r>
      <w:r w:rsidR="00F1018C">
        <w:rPr>
          <w:rFonts w:ascii="Arial" w:hAnsi="Arial" w:cs="Arial"/>
          <w:b/>
        </w:rPr>
        <w:t>:</w:t>
      </w:r>
    </w:p>
    <w:p w:rsidR="00515587" w:rsidRDefault="00515587">
      <w:pPr>
        <w:rPr>
          <w:rFonts w:ascii="Arial" w:hAnsi="Arial" w:cs="Arial"/>
        </w:rPr>
      </w:pPr>
      <w:r>
        <w:rPr>
          <w:rFonts w:ascii="Arial" w:hAnsi="Arial" w:cs="Arial"/>
        </w:rPr>
        <w:t>Aus einer</w:t>
      </w:r>
      <w:r w:rsidR="009F6CF5">
        <w:rPr>
          <w:rFonts w:ascii="Arial" w:hAnsi="Arial" w:cs="Arial"/>
        </w:rPr>
        <w:t xml:space="preserve"> befruchteten Eizelle gehen </w:t>
      </w:r>
      <w:r>
        <w:rPr>
          <w:rFonts w:ascii="Arial" w:hAnsi="Arial" w:cs="Arial"/>
        </w:rPr>
        <w:t>zunächst im Verlauf der primären Differenzierung (Determination) Zellen vom Typ „Blutzelle“</w:t>
      </w:r>
      <w:r w:rsidR="009F6CF5">
        <w:rPr>
          <w:rFonts w:ascii="Arial" w:hAnsi="Arial" w:cs="Arial"/>
        </w:rPr>
        <w:t xml:space="preserve"> hervor.</w:t>
      </w:r>
      <w:r>
        <w:rPr>
          <w:rFonts w:ascii="Arial" w:hAnsi="Arial" w:cs="Arial"/>
        </w:rPr>
        <w:t xml:space="preserve"> </w:t>
      </w:r>
      <w:r w:rsidR="00F1018C">
        <w:rPr>
          <w:rFonts w:ascii="Arial" w:hAnsi="Arial" w:cs="Arial"/>
        </w:rPr>
        <w:br/>
      </w:r>
      <w:r>
        <w:rPr>
          <w:rFonts w:ascii="Arial" w:hAnsi="Arial" w:cs="Arial"/>
        </w:rPr>
        <w:t>Diese Spezialisierung wird dann an die folgenden Zellgenerationen weitergegeben.</w:t>
      </w:r>
    </w:p>
    <w:p w:rsidR="00515587" w:rsidRDefault="005155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Während der sekundären Differenzierung </w:t>
      </w:r>
      <w:r w:rsidR="009F6CF5">
        <w:rPr>
          <w:rFonts w:ascii="Arial" w:hAnsi="Arial" w:cs="Arial"/>
        </w:rPr>
        <w:t>spezialisieren sich diese Blutzellen weiter zu roten Blutzellen (möglich wären auch zum Beispiel Blutplättchen oder weiße Blutzellen)</w:t>
      </w:r>
      <w:r w:rsidR="00D320B0">
        <w:rPr>
          <w:rFonts w:ascii="Arial" w:hAnsi="Arial" w:cs="Arial"/>
        </w:rPr>
        <w:t>.</w:t>
      </w:r>
    </w:p>
    <w:p w:rsidR="009F6CF5" w:rsidRPr="00515587" w:rsidRDefault="009F6CF5">
      <w:pPr>
        <w:rPr>
          <w:rFonts w:ascii="Arial" w:hAnsi="Arial" w:cs="Arial"/>
        </w:rPr>
      </w:pPr>
      <w:r>
        <w:rPr>
          <w:rFonts w:ascii="Arial" w:hAnsi="Arial" w:cs="Arial"/>
        </w:rPr>
        <w:t>Die Spezialisierung de</w:t>
      </w:r>
      <w:r w:rsidR="00D320B0">
        <w:rPr>
          <w:rFonts w:ascii="Arial" w:hAnsi="Arial" w:cs="Arial"/>
        </w:rPr>
        <w:t>r Zellen wird dadurch e</w:t>
      </w:r>
      <w:r w:rsidR="00793458">
        <w:rPr>
          <w:rFonts w:ascii="Arial" w:hAnsi="Arial" w:cs="Arial"/>
        </w:rPr>
        <w:t>rreicht</w:t>
      </w:r>
      <w:r>
        <w:rPr>
          <w:rFonts w:ascii="Arial" w:hAnsi="Arial" w:cs="Arial"/>
        </w:rPr>
        <w:t>, dass bestimmte Gene gezielt ein- oder ausgeschaltet werden und somit nur ausgewählte Erbinformationen umgesetzt werden.</w:t>
      </w:r>
    </w:p>
    <w:sectPr w:rsidR="009F6CF5" w:rsidRPr="00515587" w:rsidSect="006F113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87"/>
    <w:rsid w:val="002F2766"/>
    <w:rsid w:val="00515587"/>
    <w:rsid w:val="006F1136"/>
    <w:rsid w:val="00793458"/>
    <w:rsid w:val="007961CF"/>
    <w:rsid w:val="00887EFD"/>
    <w:rsid w:val="009F6CF5"/>
    <w:rsid w:val="00C42BA2"/>
    <w:rsid w:val="00D320B0"/>
    <w:rsid w:val="00F1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F1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920</Characters>
  <Application>Microsoft Office Word</Application>
  <DocSecurity>0</DocSecurity>
  <Lines>54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Karow-Hanschke, Diana</dc:creator>
  <cp:lastModifiedBy>Karow-Hanschke, Diana</cp:lastModifiedBy>
  <cp:revision>2</cp:revision>
  <dcterms:created xsi:type="dcterms:W3CDTF">2017-06-06T10:07:00Z</dcterms:created>
  <dcterms:modified xsi:type="dcterms:W3CDTF">2017-06-06T10:07:00Z</dcterms:modified>
</cp:coreProperties>
</file>