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AC1" w:rsidRPr="00065565" w:rsidRDefault="00D85AC1">
      <w:pPr>
        <w:rPr>
          <w:sz w:val="28"/>
          <w:szCs w:val="28"/>
        </w:rPr>
      </w:pPr>
      <w:bookmarkStart w:id="0" w:name="_GoBack"/>
      <w:bookmarkEnd w:id="0"/>
      <w:r w:rsidRPr="00065565">
        <w:rPr>
          <w:sz w:val="28"/>
          <w:szCs w:val="28"/>
        </w:rPr>
        <w:t>Vorkenntnisse zur Bearbeitung des Moduls zur Prozentrechnung</w:t>
      </w:r>
    </w:p>
    <w:p w:rsidR="00D85AC1" w:rsidRDefault="00D85AC1"/>
    <w:p w:rsidR="00D85AC1" w:rsidRDefault="00D85AC1"/>
    <w:p w:rsidR="00D85AC1" w:rsidRDefault="00D85AC1">
      <w:r>
        <w:t>Du solltest die folgenden Aufgaben lösen können</w:t>
      </w:r>
      <w:r w:rsidR="00120DCB">
        <w:t>. Dann bist du gut vorbereitet für die Bearbeitung des Moduls zur Prozentrechnung.</w:t>
      </w:r>
    </w:p>
    <w:p w:rsidR="00D85AC1" w:rsidRDefault="00D85AC1"/>
    <w:p w:rsidR="00120DCB" w:rsidRDefault="00120DCB"/>
    <w:p w:rsidR="00D85AC1" w:rsidRDefault="00D85AC1">
      <w:pPr>
        <w:rPr>
          <w:sz w:val="28"/>
          <w:szCs w:val="28"/>
        </w:rPr>
      </w:pPr>
      <w:r w:rsidRPr="00D85AC1">
        <w:rPr>
          <w:sz w:val="28"/>
          <w:szCs w:val="28"/>
        </w:rPr>
        <w:t>1. Verschiedene Schreibweisen</w:t>
      </w:r>
    </w:p>
    <w:p w:rsidR="00904424" w:rsidRPr="00904424" w:rsidRDefault="00904424"/>
    <w:p w:rsidR="00D85AC1" w:rsidRDefault="00D85AC1" w:rsidP="00D85AC1">
      <w:pPr>
        <w:pStyle w:val="Listenabsatz"/>
        <w:numPr>
          <w:ilvl w:val="0"/>
          <w:numId w:val="2"/>
        </w:numPr>
      </w:pPr>
      <w:r>
        <w:t>Schreibe als Bruch und als Dezimalzahl: 20 %.</w:t>
      </w:r>
    </w:p>
    <w:p w:rsidR="00904424" w:rsidRDefault="00904424" w:rsidP="00904424">
      <w:pPr>
        <w:pStyle w:val="Listenabsatz"/>
      </w:pPr>
    </w:p>
    <w:p w:rsidR="00D85AC1" w:rsidRDefault="00D85AC1" w:rsidP="00D85AC1">
      <w:pPr>
        <w:pStyle w:val="Listenabsatz"/>
        <w:numPr>
          <w:ilvl w:val="0"/>
          <w:numId w:val="2"/>
        </w:numPr>
      </w:pPr>
      <w:r>
        <w:t>Schreibe als Bruch und als Prozentangabe: 0,35.</w:t>
      </w:r>
    </w:p>
    <w:p w:rsidR="00904424" w:rsidRDefault="00904424" w:rsidP="00904424">
      <w:pPr>
        <w:pStyle w:val="Listenabsatz"/>
      </w:pPr>
    </w:p>
    <w:p w:rsidR="0008614C" w:rsidRDefault="00D85AC1" w:rsidP="00D85AC1">
      <w:pPr>
        <w:pStyle w:val="Listenabsatz"/>
        <w:numPr>
          <w:ilvl w:val="0"/>
          <w:numId w:val="2"/>
        </w:numPr>
      </w:pPr>
      <w:r>
        <w:t xml:space="preserve">Schreibe als Dezimalzahl und als Prozentangabe: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 .</w:t>
      </w:r>
    </w:p>
    <w:p w:rsidR="00D85AC1" w:rsidRDefault="00D85AC1"/>
    <w:p w:rsidR="00D85AC1" w:rsidRDefault="00D85AC1"/>
    <w:p w:rsidR="00120DCB" w:rsidRDefault="00120DCB"/>
    <w:p w:rsidR="00D85AC1" w:rsidRDefault="00D85AC1">
      <w:pPr>
        <w:rPr>
          <w:sz w:val="28"/>
          <w:szCs w:val="28"/>
        </w:rPr>
      </w:pPr>
      <w:r w:rsidRPr="00D85AC1">
        <w:rPr>
          <w:sz w:val="28"/>
          <w:szCs w:val="28"/>
        </w:rPr>
        <w:t>2. Grundaufgaben zur Prozentrechnung</w:t>
      </w:r>
    </w:p>
    <w:p w:rsidR="00904424" w:rsidRPr="00904424" w:rsidRDefault="00904424"/>
    <w:p w:rsidR="00D85AC1" w:rsidRDefault="00D85AC1" w:rsidP="00D85AC1">
      <w:pPr>
        <w:pStyle w:val="Listenabsatz"/>
        <w:numPr>
          <w:ilvl w:val="0"/>
          <w:numId w:val="4"/>
        </w:numPr>
      </w:pPr>
      <w:r>
        <w:t>Berechnung des Prozentwertes: Berechne 26 % von 135.</w:t>
      </w:r>
    </w:p>
    <w:p w:rsidR="00904424" w:rsidRDefault="00904424" w:rsidP="00904424">
      <w:pPr>
        <w:pStyle w:val="Listenabsatz"/>
      </w:pPr>
    </w:p>
    <w:p w:rsidR="00D85AC1" w:rsidRDefault="00D85AC1" w:rsidP="00D85AC1">
      <w:pPr>
        <w:pStyle w:val="Listenabsatz"/>
        <w:numPr>
          <w:ilvl w:val="0"/>
          <w:numId w:val="4"/>
        </w:numPr>
      </w:pPr>
      <w:r>
        <w:t>Berechnung des Prozentsatzes: Wie viel Prozent sind 48 von 216?</w:t>
      </w:r>
    </w:p>
    <w:p w:rsidR="00904424" w:rsidRDefault="00904424" w:rsidP="00904424">
      <w:pPr>
        <w:pStyle w:val="Listenabsatz"/>
      </w:pPr>
    </w:p>
    <w:p w:rsidR="00D85AC1" w:rsidRDefault="00D85AC1" w:rsidP="00D85AC1">
      <w:pPr>
        <w:pStyle w:val="Listenabsatz"/>
        <w:numPr>
          <w:ilvl w:val="0"/>
          <w:numId w:val="4"/>
        </w:numPr>
      </w:pPr>
      <w:r>
        <w:t>Berechnung des Grundwertes: 19 % von einer Zahl sind 4,5. Wie lautet die Zahl?</w:t>
      </w:r>
    </w:p>
    <w:p w:rsidR="00D85AC1" w:rsidRDefault="00D85AC1"/>
    <w:p w:rsidR="00D85AC1" w:rsidRDefault="00D85AC1"/>
    <w:p w:rsidR="00120DCB" w:rsidRDefault="00120DCB"/>
    <w:p w:rsidR="00D85AC1" w:rsidRDefault="00D85AC1">
      <w:pPr>
        <w:rPr>
          <w:sz w:val="28"/>
          <w:szCs w:val="28"/>
        </w:rPr>
      </w:pPr>
      <w:r w:rsidRPr="00D85AC1">
        <w:rPr>
          <w:sz w:val="28"/>
          <w:szCs w:val="28"/>
        </w:rPr>
        <w:t>3. Mehrfache Anwendung der Prozentberechnung</w:t>
      </w:r>
    </w:p>
    <w:p w:rsidR="00904424" w:rsidRPr="00904424" w:rsidRDefault="00904424"/>
    <w:p w:rsidR="00D85AC1" w:rsidRDefault="00D85AC1" w:rsidP="00D85AC1">
      <w:pPr>
        <w:pStyle w:val="Listenabsatz"/>
        <w:numPr>
          <w:ilvl w:val="0"/>
          <w:numId w:val="6"/>
        </w:numPr>
      </w:pPr>
      <w:r>
        <w:t xml:space="preserve">Der Wert 460 wird zunächst </w:t>
      </w:r>
      <w:r w:rsidR="00904424">
        <w:t>auf</w:t>
      </w:r>
      <w:r>
        <w:t xml:space="preserve"> </w:t>
      </w:r>
      <w:r w:rsidR="00904424">
        <w:t>80</w:t>
      </w:r>
      <w:r>
        <w:t xml:space="preserve"> % reduziert. Danach wird der reduzierte Wert nochmals </w:t>
      </w:r>
      <w:r w:rsidR="00904424">
        <w:t>auf</w:t>
      </w:r>
      <w:r>
        <w:t xml:space="preserve"> </w:t>
      </w:r>
      <w:r w:rsidR="00904424">
        <w:t>85</w:t>
      </w:r>
      <w:r>
        <w:t xml:space="preserve"> % reduziert. </w:t>
      </w:r>
      <w:r w:rsidR="00904424">
        <w:t>Auf welchen Prozentwert</w:t>
      </w:r>
      <w:r>
        <w:t xml:space="preserve"> wurde der Ausgangswert insgesamt reduziert?</w:t>
      </w:r>
    </w:p>
    <w:p w:rsidR="00904424" w:rsidRDefault="00904424" w:rsidP="00904424">
      <w:pPr>
        <w:pStyle w:val="Listenabsatz"/>
      </w:pPr>
    </w:p>
    <w:p w:rsidR="00D85AC1" w:rsidRDefault="00D85AC1" w:rsidP="00D85AC1">
      <w:pPr>
        <w:pStyle w:val="Listenabsatz"/>
        <w:numPr>
          <w:ilvl w:val="0"/>
          <w:numId w:val="6"/>
        </w:numPr>
      </w:pPr>
      <w:r>
        <w:t>Der Wert 180 wird um 20 % reduziert. Danach werden noch einmal 15 % von dem Ausgangswert abgezogen. Um wieviel wurde der Ausgangswert insgesamt reduziert?</w:t>
      </w:r>
    </w:p>
    <w:p w:rsidR="00D85AC1" w:rsidRDefault="00D85AC1">
      <w:r>
        <w:br w:type="page"/>
      </w:r>
    </w:p>
    <w:p w:rsidR="00D85AC1" w:rsidRPr="00065565" w:rsidRDefault="00D85AC1" w:rsidP="00D85AC1">
      <w:pPr>
        <w:rPr>
          <w:sz w:val="28"/>
          <w:szCs w:val="28"/>
        </w:rPr>
      </w:pPr>
      <w:r w:rsidRPr="00065565">
        <w:rPr>
          <w:sz w:val="28"/>
          <w:szCs w:val="28"/>
        </w:rPr>
        <w:lastRenderedPageBreak/>
        <w:t>Vorkenntnisse zur Bearbeitung des Moduls zur Prozentrechnung</w:t>
      </w:r>
    </w:p>
    <w:p w:rsidR="00D85AC1" w:rsidRDefault="00D85AC1" w:rsidP="00D85AC1"/>
    <w:p w:rsidR="00D85AC1" w:rsidRPr="00065565" w:rsidRDefault="00D85AC1" w:rsidP="00D85AC1">
      <w:pPr>
        <w:rPr>
          <w:sz w:val="28"/>
          <w:szCs w:val="28"/>
        </w:rPr>
      </w:pPr>
      <w:r w:rsidRPr="00065565">
        <w:rPr>
          <w:sz w:val="28"/>
          <w:szCs w:val="28"/>
        </w:rPr>
        <w:t>Lösungen</w:t>
      </w:r>
    </w:p>
    <w:p w:rsidR="00D85AC1" w:rsidRDefault="00D85AC1" w:rsidP="00D85AC1"/>
    <w:p w:rsidR="00D85AC1" w:rsidRDefault="00D85AC1" w:rsidP="00D85AC1">
      <w:pPr>
        <w:rPr>
          <w:sz w:val="28"/>
          <w:szCs w:val="28"/>
        </w:rPr>
      </w:pPr>
      <w:r w:rsidRPr="00D85AC1">
        <w:rPr>
          <w:sz w:val="28"/>
          <w:szCs w:val="28"/>
        </w:rPr>
        <w:t>1. Verschiedene Schreibweisen</w:t>
      </w:r>
    </w:p>
    <w:p w:rsidR="00904424" w:rsidRPr="00904424" w:rsidRDefault="00904424" w:rsidP="00D85AC1"/>
    <w:p w:rsidR="00D85AC1" w:rsidRDefault="00D85AC1" w:rsidP="007A0C98">
      <w:pPr>
        <w:pStyle w:val="Listenabsatz"/>
        <w:numPr>
          <w:ilvl w:val="0"/>
          <w:numId w:val="8"/>
        </w:numPr>
        <w:rPr>
          <w:rFonts w:eastAsiaTheme="minorEastAsia"/>
        </w:rPr>
      </w:pPr>
      <w:r>
        <w:t xml:space="preserve">20 % = 0,2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7A0C98">
        <w:rPr>
          <w:rFonts w:eastAsiaTheme="minorEastAsia"/>
        </w:rPr>
        <w:t xml:space="preserve"> .</w:t>
      </w:r>
    </w:p>
    <w:p w:rsidR="00904424" w:rsidRPr="007A0C98" w:rsidRDefault="00904424" w:rsidP="00904424">
      <w:pPr>
        <w:pStyle w:val="Listenabsatz"/>
        <w:rPr>
          <w:rFonts w:eastAsiaTheme="minorEastAsia"/>
        </w:rPr>
      </w:pPr>
    </w:p>
    <w:p w:rsidR="00D85AC1" w:rsidRDefault="007A0C98" w:rsidP="007A0C98">
      <w:pPr>
        <w:pStyle w:val="Listenabsatz"/>
        <w:numPr>
          <w:ilvl w:val="0"/>
          <w:numId w:val="8"/>
        </w:numPr>
        <w:rPr>
          <w:rFonts w:eastAsiaTheme="minorEastAsia"/>
        </w:rPr>
      </w:pPr>
      <w:r w:rsidRPr="007A0C98">
        <w:rPr>
          <w:rFonts w:eastAsiaTheme="minorEastAsia"/>
        </w:rPr>
        <w:t xml:space="preserve">0,35 = 35 %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35</m:t>
            </m:r>
          </m:num>
          <m:den>
            <m:r>
              <w:rPr>
                <w:rFonts w:ascii="Cambria Math" w:eastAsiaTheme="minorEastAsia" w:hAnsi="Cambria Math"/>
              </w:rPr>
              <m:t>100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20</m:t>
            </m:r>
          </m:den>
        </m:f>
      </m:oMath>
      <w:r w:rsidRPr="007A0C98">
        <w:rPr>
          <w:rFonts w:eastAsiaTheme="minorEastAsia"/>
        </w:rPr>
        <w:t xml:space="preserve"> .</w:t>
      </w:r>
    </w:p>
    <w:p w:rsidR="00904424" w:rsidRPr="007A0C98" w:rsidRDefault="00904424" w:rsidP="00904424">
      <w:pPr>
        <w:pStyle w:val="Listenabsatz"/>
        <w:rPr>
          <w:rFonts w:eastAsiaTheme="minorEastAsia"/>
        </w:rPr>
      </w:pPr>
    </w:p>
    <w:p w:rsidR="007A0C98" w:rsidRPr="007A0C98" w:rsidRDefault="00664077" w:rsidP="007A0C98">
      <w:pPr>
        <w:pStyle w:val="Listenabsatz"/>
        <w:numPr>
          <w:ilvl w:val="0"/>
          <w:numId w:val="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60</m:t>
            </m:r>
          </m:num>
          <m:den>
            <m:r>
              <w:rPr>
                <w:rFonts w:ascii="Cambria Math" w:eastAsiaTheme="minorEastAsia" w:hAnsi="Cambria Math"/>
              </w:rPr>
              <m:t>100</m:t>
            </m:r>
          </m:den>
        </m:f>
        <m:r>
          <w:rPr>
            <w:rFonts w:ascii="Cambria Math" w:eastAsiaTheme="minorEastAsia" w:hAnsi="Cambria Math"/>
          </w:rPr>
          <m:t>=0,6=60 %</m:t>
        </m:r>
      </m:oMath>
    </w:p>
    <w:p w:rsidR="007A0C98" w:rsidRDefault="007A0C98" w:rsidP="00D85AC1">
      <w:pPr>
        <w:rPr>
          <w:rFonts w:eastAsiaTheme="minorEastAsia"/>
        </w:rPr>
      </w:pPr>
    </w:p>
    <w:p w:rsidR="007A0C98" w:rsidRDefault="007A0C98" w:rsidP="00D85AC1">
      <w:pPr>
        <w:rPr>
          <w:rFonts w:eastAsiaTheme="minorEastAsia"/>
        </w:rPr>
      </w:pPr>
    </w:p>
    <w:p w:rsidR="00904424" w:rsidRDefault="00904424" w:rsidP="00D85AC1">
      <w:pPr>
        <w:rPr>
          <w:rFonts w:eastAsiaTheme="minorEastAsia"/>
        </w:rPr>
      </w:pPr>
    </w:p>
    <w:p w:rsidR="007A0C98" w:rsidRDefault="007A0C98" w:rsidP="007A0C98">
      <w:pPr>
        <w:rPr>
          <w:sz w:val="28"/>
          <w:szCs w:val="28"/>
        </w:rPr>
      </w:pPr>
      <w:r w:rsidRPr="00D85AC1">
        <w:rPr>
          <w:sz w:val="28"/>
          <w:szCs w:val="28"/>
        </w:rPr>
        <w:t>2. Grundaufgaben zur Prozentrechnung</w:t>
      </w:r>
    </w:p>
    <w:p w:rsidR="00904424" w:rsidRPr="00904424" w:rsidRDefault="00904424" w:rsidP="007A0C98"/>
    <w:p w:rsidR="007A0C98" w:rsidRDefault="007A0C98" w:rsidP="007A0C98">
      <w:pPr>
        <w:pStyle w:val="Listenabsatz"/>
        <w:numPr>
          <w:ilvl w:val="0"/>
          <w:numId w:val="10"/>
        </w:numPr>
        <w:rPr>
          <w:rFonts w:eastAsiaTheme="minorEastAsia"/>
          <w:lang w:val="en-US"/>
        </w:rPr>
      </w:pPr>
      <m:oMath>
        <m:r>
          <w:rPr>
            <w:rFonts w:ascii="Cambria Math" w:hAnsi="Cambria Math"/>
            <w:lang w:val="en-US"/>
          </w:rPr>
          <m:t>26 % = 0,26</m:t>
        </m:r>
      </m:oMath>
      <w:r w:rsidRPr="007A0C98">
        <w:rPr>
          <w:rFonts w:eastAsiaTheme="minorEastAsia"/>
          <w:lang w:val="en-US"/>
        </w:rPr>
        <w:t xml:space="preserve">, also </w:t>
      </w:r>
      <w:r w:rsidRPr="007A0C98"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0,26∙135=35,1</m:t>
        </m:r>
      </m:oMath>
      <w:r w:rsidRPr="007A0C98">
        <w:rPr>
          <w:rFonts w:eastAsiaTheme="minorEastAsia"/>
          <w:lang w:val="en-US"/>
        </w:rPr>
        <w:t xml:space="preserve"> .</w:t>
      </w:r>
    </w:p>
    <w:p w:rsidR="00904424" w:rsidRPr="007A0C98" w:rsidRDefault="00904424" w:rsidP="00904424">
      <w:pPr>
        <w:pStyle w:val="Listenabsatz"/>
        <w:rPr>
          <w:rFonts w:eastAsiaTheme="minorEastAsia"/>
          <w:lang w:val="en-US"/>
        </w:rPr>
      </w:pPr>
    </w:p>
    <w:p w:rsidR="007A0C98" w:rsidRDefault="00664077" w:rsidP="007A0C98">
      <w:pPr>
        <w:pStyle w:val="Listenabsatz"/>
        <w:numPr>
          <w:ilvl w:val="0"/>
          <w:numId w:val="10"/>
        </w:numPr>
        <w:rPr>
          <w:rFonts w:eastAsiaTheme="minorEastAsia"/>
          <w:lang w:val="en-US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48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216</m:t>
            </m:r>
          </m:den>
        </m:f>
        <m:r>
          <w:rPr>
            <w:rFonts w:ascii="Cambria Math" w:eastAsiaTheme="minorEastAsia" w:hAnsi="Cambria Math"/>
            <w:lang w:val="en-US"/>
          </w:rPr>
          <m:t>∙100 % ≈22,2 %</m:t>
        </m:r>
      </m:oMath>
      <w:r w:rsidR="007A0C98" w:rsidRPr="007A0C98">
        <w:rPr>
          <w:rFonts w:eastAsiaTheme="minorEastAsia"/>
          <w:lang w:val="en-US"/>
        </w:rPr>
        <w:t xml:space="preserve"> .</w:t>
      </w:r>
    </w:p>
    <w:p w:rsidR="00904424" w:rsidRPr="007A0C98" w:rsidRDefault="00904424" w:rsidP="00904424">
      <w:pPr>
        <w:pStyle w:val="Listenabsatz"/>
        <w:rPr>
          <w:rFonts w:eastAsiaTheme="minorEastAsia"/>
          <w:lang w:val="en-US"/>
        </w:rPr>
      </w:pPr>
    </w:p>
    <w:p w:rsidR="007A0C98" w:rsidRPr="007A0C98" w:rsidRDefault="007A0C98" w:rsidP="007A0C98">
      <w:pPr>
        <w:pStyle w:val="Listenabsatz"/>
        <w:numPr>
          <w:ilvl w:val="0"/>
          <w:numId w:val="10"/>
        </w:numPr>
        <w:rPr>
          <w:lang w:val="en-US"/>
        </w:rPr>
      </w:pPr>
      <w:r w:rsidRPr="007A0C98">
        <w:rPr>
          <w:rFonts w:eastAsiaTheme="minorEastAsia"/>
          <w:lang w:val="en-US"/>
        </w:rPr>
        <w:t>19 % = 0</w:t>
      </w:r>
      <w:proofErr w:type="gramStart"/>
      <w:r w:rsidRPr="007A0C98">
        <w:rPr>
          <w:rFonts w:eastAsiaTheme="minorEastAsia"/>
          <w:lang w:val="en-US"/>
        </w:rPr>
        <w:t>,19</w:t>
      </w:r>
      <w:proofErr w:type="gramEnd"/>
      <w:r w:rsidRPr="007A0C98">
        <w:rPr>
          <w:rFonts w:eastAsiaTheme="minorEastAsia"/>
          <w:lang w:val="en-US"/>
        </w:rPr>
        <w:t xml:space="preserve">, also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4,5</m:t>
            </m:r>
          </m:num>
          <m:den>
            <m:r>
              <w:rPr>
                <w:rFonts w:ascii="Cambria Math" w:eastAsiaTheme="minorEastAsia" w:hAnsi="Cambria Math"/>
              </w:rPr>
              <m:t>0,19</m:t>
            </m:r>
          </m:den>
        </m:f>
        <m:r>
          <w:rPr>
            <w:rFonts w:ascii="Cambria Math" w:eastAsiaTheme="minorEastAsia" w:hAnsi="Cambria Math"/>
          </w:rPr>
          <m:t>≈23,68</m:t>
        </m:r>
      </m:oMath>
      <w:r w:rsidRPr="007A0C98">
        <w:rPr>
          <w:rFonts w:eastAsiaTheme="minorEastAsia"/>
          <w:lang w:val="en-US"/>
        </w:rPr>
        <w:t xml:space="preserve"> .</w:t>
      </w:r>
    </w:p>
    <w:p w:rsidR="007A0C98" w:rsidRDefault="007A0C98" w:rsidP="007A0C98">
      <w:pPr>
        <w:rPr>
          <w:lang w:val="en-US"/>
        </w:rPr>
      </w:pPr>
    </w:p>
    <w:p w:rsidR="007A0C98" w:rsidRDefault="007A0C98" w:rsidP="007A0C98">
      <w:pPr>
        <w:rPr>
          <w:lang w:val="en-US"/>
        </w:rPr>
      </w:pPr>
    </w:p>
    <w:p w:rsidR="00904424" w:rsidRDefault="00904424" w:rsidP="007A0C98">
      <w:pPr>
        <w:rPr>
          <w:lang w:val="en-US"/>
        </w:rPr>
      </w:pPr>
    </w:p>
    <w:p w:rsidR="007A0C98" w:rsidRDefault="007A0C98" w:rsidP="007A0C98">
      <w:pPr>
        <w:rPr>
          <w:sz w:val="28"/>
          <w:szCs w:val="28"/>
        </w:rPr>
      </w:pPr>
      <w:r w:rsidRPr="00D85AC1">
        <w:rPr>
          <w:sz w:val="28"/>
          <w:szCs w:val="28"/>
        </w:rPr>
        <w:t>3. Mehrfache Anwendung der Prozentberechnung</w:t>
      </w:r>
    </w:p>
    <w:p w:rsidR="00904424" w:rsidRPr="00904424" w:rsidRDefault="00904424" w:rsidP="007A0C98"/>
    <w:p w:rsidR="007A0C98" w:rsidRDefault="00904424" w:rsidP="00904424">
      <w:pPr>
        <w:pStyle w:val="Listenabsatz"/>
        <w:numPr>
          <w:ilvl w:val="0"/>
          <w:numId w:val="12"/>
        </w:numPr>
      </w:pPr>
      <w:r>
        <w:t>80</w:t>
      </w:r>
      <w:r w:rsidR="007A0C98">
        <w:t xml:space="preserve"> % von 480 </w:t>
      </w:r>
      <w:proofErr w:type="gramStart"/>
      <w:r w:rsidR="007A0C98">
        <w:t xml:space="preserve">sind </w:t>
      </w:r>
      <w:proofErr w:type="gramEnd"/>
      <m:oMath>
        <m:r>
          <w:rPr>
            <w:rFonts w:ascii="Cambria Math" w:hAnsi="Cambria Math"/>
          </w:rPr>
          <m:t>0,8∙480=384</m:t>
        </m:r>
      </m:oMath>
      <w:r w:rsidR="007A0C98" w:rsidRPr="00904424">
        <w:rPr>
          <w:rFonts w:eastAsiaTheme="minorEastAsia"/>
        </w:rPr>
        <w:t>.</w:t>
      </w:r>
      <w:r w:rsidR="007A0C98" w:rsidRPr="00904424">
        <w:rPr>
          <w:rFonts w:eastAsiaTheme="minorEastAsia"/>
        </w:rPr>
        <w:br/>
        <w:t xml:space="preserve">85 % von 384 </w:t>
      </w:r>
      <w:proofErr w:type="gramStart"/>
      <w:r w:rsidR="007A0C98" w:rsidRPr="00904424">
        <w:rPr>
          <w:rFonts w:eastAsiaTheme="minorEastAsia"/>
        </w:rPr>
        <w:t xml:space="preserve">sind </w:t>
      </w:r>
      <w:proofErr w:type="gramEnd"/>
      <m:oMath>
        <m:r>
          <w:rPr>
            <w:rFonts w:ascii="Cambria Math" w:eastAsiaTheme="minorEastAsia" w:hAnsi="Cambria Math"/>
          </w:rPr>
          <m:t>0,85∙384=326,4</m:t>
        </m:r>
      </m:oMath>
      <w:r w:rsidRPr="00904424">
        <w:rPr>
          <w:rFonts w:eastAsiaTheme="minorEastAsia"/>
        </w:rPr>
        <w:t>.</w:t>
      </w:r>
      <w:r w:rsidRPr="00904424">
        <w:rPr>
          <w:rFonts w:eastAsiaTheme="minorEastAsia"/>
        </w:rPr>
        <w:br/>
        <w:t xml:space="preserve">Insgesamt wurden </w:t>
      </w:r>
      <w:r>
        <w:rPr>
          <w:rFonts w:eastAsiaTheme="minorEastAsia"/>
        </w:rPr>
        <w:t>reduziert auf</w:t>
      </w:r>
      <w:r w:rsidRPr="00904424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0,85∙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0,8∙480</m:t>
            </m:r>
          </m:e>
        </m:d>
        <m:r>
          <w:rPr>
            <w:rFonts w:ascii="Cambria Math" w:eastAsiaTheme="minorEastAsia" w:hAnsi="Cambria Math"/>
          </w:rPr>
          <m:t>=0,68∙480</m:t>
        </m:r>
      </m:oMath>
      <w:r w:rsidR="007A0C98" w:rsidRPr="00904424">
        <w:rPr>
          <w:rFonts w:eastAsiaTheme="minorEastAsia"/>
        </w:rPr>
        <w:br/>
      </w:r>
      <w:r>
        <w:t>Der Ausgangswert wurde auf 68 % reduziert.</w:t>
      </w:r>
    </w:p>
    <w:p w:rsidR="00904424" w:rsidRDefault="00904424" w:rsidP="00904424">
      <w:pPr>
        <w:pStyle w:val="Listenabsatz"/>
      </w:pPr>
    </w:p>
    <w:p w:rsidR="00904424" w:rsidRPr="007A0C98" w:rsidRDefault="00904424" w:rsidP="00904424">
      <w:pPr>
        <w:pStyle w:val="Listenabsatz"/>
        <w:numPr>
          <w:ilvl w:val="0"/>
          <w:numId w:val="12"/>
        </w:numPr>
      </w:pPr>
      <w:r>
        <w:t xml:space="preserve">20 % von 180 sind </w:t>
      </w:r>
      <m:oMath>
        <m:r>
          <w:rPr>
            <w:rFonts w:ascii="Cambria Math" w:hAnsi="Cambria Math"/>
          </w:rPr>
          <m:t>0,2∙180=36</m:t>
        </m:r>
      </m:oMath>
      <w:r w:rsidRPr="00904424">
        <w:rPr>
          <w:rFonts w:eastAsiaTheme="minorEastAsia"/>
        </w:rPr>
        <w:t xml:space="preserve"> .</w:t>
      </w:r>
      <w:r w:rsidRPr="00904424">
        <w:rPr>
          <w:rFonts w:eastAsiaTheme="minorEastAsia"/>
        </w:rPr>
        <w:br/>
        <w:t xml:space="preserve">15 % von 180 </w:t>
      </w:r>
      <w:proofErr w:type="gramStart"/>
      <w:r w:rsidRPr="00904424">
        <w:rPr>
          <w:rFonts w:eastAsiaTheme="minorEastAsia"/>
        </w:rPr>
        <w:t xml:space="preserve">sind </w:t>
      </w:r>
      <w:proofErr w:type="gramEnd"/>
      <m:oMath>
        <m:r>
          <w:rPr>
            <w:rFonts w:ascii="Cambria Math" w:eastAsiaTheme="minorEastAsia" w:hAnsi="Cambria Math"/>
          </w:rPr>
          <m:t>0,15∙180=27</m:t>
        </m:r>
      </m:oMath>
      <w:r w:rsidRPr="00904424">
        <w:rPr>
          <w:rFonts w:eastAsiaTheme="minorEastAsia"/>
        </w:rPr>
        <w:t>.</w:t>
      </w:r>
      <w:r w:rsidRPr="00904424">
        <w:rPr>
          <w:rFonts w:eastAsiaTheme="minorEastAsia"/>
        </w:rPr>
        <w:br/>
        <w:t xml:space="preserve">Insgesamt wurde der Ausgangswert um 63 reduziert. Das sind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63</m:t>
            </m:r>
          </m:num>
          <m:den>
            <m:r>
              <w:rPr>
                <w:rFonts w:ascii="Cambria Math" w:eastAsiaTheme="minorEastAsia" w:hAnsi="Cambria Math"/>
              </w:rPr>
              <m:t>180</m:t>
            </m:r>
          </m:den>
        </m:f>
        <m:r>
          <w:rPr>
            <w:rFonts w:ascii="Cambria Math" w:eastAsiaTheme="minorEastAsia" w:hAnsi="Cambria Math"/>
          </w:rPr>
          <m:t>∙100%=35 %</m:t>
        </m:r>
      </m:oMath>
      <w:r w:rsidRPr="00904424">
        <w:rPr>
          <w:rFonts w:eastAsiaTheme="minorEastAsia"/>
        </w:rPr>
        <w:t xml:space="preserve"> .</w:t>
      </w:r>
    </w:p>
    <w:sectPr w:rsidR="00904424" w:rsidRPr="007A0C98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077" w:rsidRDefault="00664077" w:rsidP="00065565">
      <w:r>
        <w:separator/>
      </w:r>
    </w:p>
  </w:endnote>
  <w:endnote w:type="continuationSeparator" w:id="0">
    <w:p w:rsidR="00664077" w:rsidRDefault="00664077" w:rsidP="0006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565" w:rsidRDefault="00065565" w:rsidP="00065565">
    <w:pPr>
      <w:pStyle w:val="Kopfzeile"/>
    </w:pPr>
    <w:r w:rsidRPr="005627AC">
      <w:t>__________________________________________________________________________________</w:t>
    </w:r>
  </w:p>
  <w:p w:rsidR="00065565" w:rsidRPr="00811C4C" w:rsidRDefault="00065565" w:rsidP="00065565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065565" w:rsidRDefault="00065565" w:rsidP="00065565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134EC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134EC">
      <w:rPr>
        <w:b/>
        <w:noProof/>
      </w:rPr>
      <w:t>2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077" w:rsidRDefault="00664077" w:rsidP="00065565">
      <w:r>
        <w:separator/>
      </w:r>
    </w:p>
  </w:footnote>
  <w:footnote w:type="continuationSeparator" w:id="0">
    <w:p w:rsidR="00664077" w:rsidRDefault="00664077" w:rsidP="00065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565" w:rsidRDefault="00065565" w:rsidP="00065565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CB008B2" wp14:editId="384A8BF3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65565" w:rsidRDefault="00065565" w:rsidP="00065565"/>
  <w:p w:rsidR="00065565" w:rsidRPr="00336AA9" w:rsidRDefault="00065565" w:rsidP="00065565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1EE7C9B6" wp14:editId="3D321C31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065565" w:rsidRPr="00336AA9" w:rsidRDefault="00065565" w:rsidP="00065565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065565" w:rsidRPr="00336AA9" w:rsidRDefault="00065565" w:rsidP="00065565">
    <w:pPr>
      <w:tabs>
        <w:tab w:val="center" w:pos="4536"/>
        <w:tab w:val="right" w:pos="9072"/>
      </w:tabs>
    </w:pPr>
  </w:p>
  <w:p w:rsidR="00065565" w:rsidRPr="00336AA9" w:rsidRDefault="00065565" w:rsidP="00065565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065565" w:rsidRDefault="0006556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667"/>
    <w:multiLevelType w:val="hybridMultilevel"/>
    <w:tmpl w:val="DB12D2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34B9B"/>
    <w:multiLevelType w:val="hybridMultilevel"/>
    <w:tmpl w:val="98E643B0"/>
    <w:lvl w:ilvl="0" w:tplc="81A898D0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940CB"/>
    <w:multiLevelType w:val="hybridMultilevel"/>
    <w:tmpl w:val="D11EF0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3A601C"/>
    <w:multiLevelType w:val="hybridMultilevel"/>
    <w:tmpl w:val="DB3640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13694E"/>
    <w:multiLevelType w:val="hybridMultilevel"/>
    <w:tmpl w:val="291C78B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7C53DD"/>
    <w:multiLevelType w:val="hybridMultilevel"/>
    <w:tmpl w:val="129C6394"/>
    <w:lvl w:ilvl="0" w:tplc="81A898D0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F00FEE"/>
    <w:multiLevelType w:val="hybridMultilevel"/>
    <w:tmpl w:val="46D0141C"/>
    <w:lvl w:ilvl="0" w:tplc="81A898D0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7826F3"/>
    <w:multiLevelType w:val="hybridMultilevel"/>
    <w:tmpl w:val="FAF65A8E"/>
    <w:lvl w:ilvl="0" w:tplc="81A898D0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200434"/>
    <w:multiLevelType w:val="hybridMultilevel"/>
    <w:tmpl w:val="D730D99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2D0227"/>
    <w:multiLevelType w:val="hybridMultilevel"/>
    <w:tmpl w:val="7BA4D1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B67113"/>
    <w:multiLevelType w:val="hybridMultilevel"/>
    <w:tmpl w:val="E22068F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AF38E7"/>
    <w:multiLevelType w:val="hybridMultilevel"/>
    <w:tmpl w:val="E4F65AB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0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5"/>
  </w:num>
  <w:num w:numId="10">
    <w:abstractNumId w:val="6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AC1"/>
    <w:rsid w:val="00065565"/>
    <w:rsid w:val="0008614C"/>
    <w:rsid w:val="00120DCB"/>
    <w:rsid w:val="00407FD1"/>
    <w:rsid w:val="00664077"/>
    <w:rsid w:val="007A0C98"/>
    <w:rsid w:val="00904424"/>
    <w:rsid w:val="00C134EC"/>
    <w:rsid w:val="00D8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85AC1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5A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5AC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85AC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655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65565"/>
  </w:style>
  <w:style w:type="paragraph" w:styleId="Fuzeile">
    <w:name w:val="footer"/>
    <w:basedOn w:val="Standard"/>
    <w:link w:val="FuzeileZchn"/>
    <w:uiPriority w:val="99"/>
    <w:unhideWhenUsed/>
    <w:rsid w:val="000655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655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85AC1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5A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5AC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85AC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655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65565"/>
  </w:style>
  <w:style w:type="paragraph" w:styleId="Fuzeile">
    <w:name w:val="footer"/>
    <w:basedOn w:val="Standard"/>
    <w:link w:val="FuzeileZchn"/>
    <w:uiPriority w:val="99"/>
    <w:unhideWhenUsed/>
    <w:rsid w:val="000655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65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4</cp:revision>
  <cp:lastPrinted>2016-09-20T05:43:00Z</cp:lastPrinted>
  <dcterms:created xsi:type="dcterms:W3CDTF">2016-08-08T14:22:00Z</dcterms:created>
  <dcterms:modified xsi:type="dcterms:W3CDTF">2016-09-20T05:43:00Z</dcterms:modified>
</cp:coreProperties>
</file>