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3A" w:rsidRDefault="00C50C5D" w:rsidP="004E4A3A">
      <w:pPr>
        <w:pStyle w:val="Titel"/>
      </w:pPr>
      <w:bookmarkStart w:id="0" w:name="_GoBack"/>
      <w:bookmarkEnd w:id="0"/>
      <w:r>
        <w:t>W</w:t>
      </w:r>
      <w:r w:rsidR="00A5744C">
        <w:t>ie groß ist das Quadrat?</w:t>
      </w:r>
      <w:r w:rsidR="008B1360" w:rsidRPr="008B1360">
        <w:t xml:space="preserve"> </w:t>
      </w:r>
      <w:r w:rsidR="008B1360">
        <w:t>Lege aus.</w:t>
      </w:r>
    </w:p>
    <w:p w:rsidR="001D1B9B" w:rsidRDefault="001D1B9B" w:rsidP="001D1B9B">
      <w:r>
        <w:t xml:space="preserve">1) </w:t>
      </w:r>
      <w:r w:rsidR="00C50C5D">
        <w:t>Lege die Quadrate mit Kacheln aus.</w:t>
      </w:r>
      <w:r w:rsidR="004E4A3A">
        <w:t xml:space="preserve"> </w:t>
      </w:r>
    </w:p>
    <w:p w:rsidR="00C50C5D" w:rsidRDefault="001D1B9B" w:rsidP="001D1B9B">
      <w:r>
        <w:t xml:space="preserve">2) </w:t>
      </w:r>
      <w:r w:rsidR="004E4A3A">
        <w:t>Klebe die Kachel</w:t>
      </w:r>
      <w:r w:rsidR="007907A9">
        <w:t>n</w:t>
      </w:r>
      <w:r w:rsidR="004E4A3A">
        <w:t xml:space="preserve"> fest.</w:t>
      </w:r>
    </w:p>
    <w:p w:rsidR="001D1B9B" w:rsidRPr="001D1B9B" w:rsidRDefault="001D1B9B" w:rsidP="001D1B9B">
      <w:pPr>
        <w:pBdr>
          <w:top w:val="single" w:sz="4" w:space="1" w:color="auto"/>
          <w:left w:val="single" w:sz="4" w:space="4" w:color="auto"/>
          <w:bottom w:val="single" w:sz="4" w:space="1" w:color="auto"/>
          <w:right w:val="single" w:sz="4" w:space="4" w:color="auto"/>
        </w:pBdr>
        <w:rPr>
          <w:b/>
        </w:rPr>
      </w:pPr>
      <w:r w:rsidRPr="001D1B9B">
        <w:rPr>
          <w:b/>
        </w:rPr>
        <w:t>Zur Information:</w:t>
      </w:r>
    </w:p>
    <w:p w:rsidR="001D1B9B" w:rsidRDefault="001D1B9B" w:rsidP="001D1B9B">
      <w:pPr>
        <w:pBdr>
          <w:top w:val="single" w:sz="4" w:space="1" w:color="auto"/>
          <w:left w:val="single" w:sz="4" w:space="4" w:color="auto"/>
          <w:bottom w:val="single" w:sz="4" w:space="1" w:color="auto"/>
          <w:right w:val="single" w:sz="4" w:space="4" w:color="auto"/>
        </w:pBdr>
      </w:pPr>
      <w:r>
        <w:t xml:space="preserve">Jede Seite der Kachel ist 1cm lang. </w:t>
      </w:r>
    </w:p>
    <w:p w:rsidR="001D1B9B" w:rsidRDefault="001D1B9B" w:rsidP="001D1B9B">
      <w:pPr>
        <w:pBdr>
          <w:top w:val="single" w:sz="4" w:space="1" w:color="auto"/>
          <w:left w:val="single" w:sz="4" w:space="4" w:color="auto"/>
          <w:bottom w:val="single" w:sz="4" w:space="1" w:color="auto"/>
          <w:right w:val="single" w:sz="4" w:space="4" w:color="auto"/>
        </w:pBdr>
      </w:pPr>
      <w:r>
        <w:rPr>
          <w:noProof/>
          <w:lang w:eastAsia="de-DE"/>
        </w:rPr>
        <mc:AlternateContent>
          <mc:Choice Requires="wps">
            <w:drawing>
              <wp:anchor distT="0" distB="0" distL="114300" distR="114300" simplePos="0" relativeHeight="251659264" behindDoc="0" locked="0" layoutInCell="1" allowOverlap="1" wp14:anchorId="6C4BC274" wp14:editId="316FCD6F">
                <wp:simplePos x="0" y="0"/>
                <wp:positionH relativeFrom="column">
                  <wp:posOffset>3136265</wp:posOffset>
                </wp:positionH>
                <wp:positionV relativeFrom="paragraph">
                  <wp:posOffset>169545</wp:posOffset>
                </wp:positionV>
                <wp:extent cx="358140" cy="359410"/>
                <wp:effectExtent l="0" t="0" r="22860" b="2159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35941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3" o:spid="_x0000_s1026" style="position:absolute;margin-left:246.95pt;margin-top:13.35pt;width:28.2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" fillcolor="white [3201]" strokecolor="black [3213]" strokeweight="1pt">
                <v:path arrowok="t"/>
              </v:rect>
            </w:pict>
          </mc:Fallback>
        </mc:AlternateContent>
      </w:r>
      <w:r>
        <w:t>Die Fläche der Kachel ist: 1cm ∙ 1cm = 1</w:t>
      </w:r>
      <m:oMath>
        <m:sSup>
          <m:sSupPr>
            <m:ctrlPr>
              <w:rPr>
                <w:rFonts w:ascii="Cambria Math" w:hAnsi="Cambria Math"/>
              </w:rPr>
            </m:ctrlPr>
          </m:sSupPr>
          <m:e>
            <m:r>
              <w:rPr>
                <w:rFonts w:ascii="Cambria Math" w:hAnsi="Cambria Math"/>
              </w:rPr>
              <m:t>cm</m:t>
            </m:r>
          </m:e>
          <m:sup>
            <m:r>
              <w:rPr>
                <w:rFonts w:ascii="Cambria Math" w:hAnsi="Cambria Math"/>
              </w:rPr>
              <m:t>2</m:t>
            </m:r>
          </m:sup>
        </m:sSup>
      </m:oMath>
    </w:p>
    <w:p w:rsidR="00364B00" w:rsidRDefault="00C50C5D" w:rsidP="001D1B9B">
      <w:pPr>
        <w:pBdr>
          <w:top w:val="single" w:sz="4" w:space="1" w:color="auto"/>
          <w:left w:val="single" w:sz="4" w:space="4" w:color="auto"/>
          <w:bottom w:val="single" w:sz="4" w:space="1" w:color="auto"/>
          <w:right w:val="single" w:sz="4" w:space="4" w:color="auto"/>
        </w:pBdr>
      </w:pPr>
      <w:r>
        <w:t xml:space="preserve">Jede Kachel ist 1cm² groß (1 Zentimeterquadrat). </w:t>
      </w:r>
    </w:p>
    <w:p w:rsidR="007907A9" w:rsidRDefault="001D1B9B" w:rsidP="001D1B9B">
      <w:r>
        <w:t xml:space="preserve">3) evtl. zur weiteren Differenzierung als Zusatzfrage: </w:t>
      </w:r>
      <w:r w:rsidR="007907A9">
        <w:t xml:space="preserve">Wie viele Kacheln passen in die </w:t>
      </w:r>
      <w:r>
        <w:tab/>
      </w:r>
      <w:r w:rsidR="007907A9">
        <w:t>Quadrate</w:t>
      </w:r>
      <w:r>
        <w:t>?</w:t>
      </w:r>
    </w:p>
    <w:p w:rsidR="007907A9" w:rsidRDefault="001D1B9B" w:rsidP="001D1B9B">
      <w:r>
        <w:t xml:space="preserve">4) </w:t>
      </w:r>
      <w:r w:rsidR="007907A9">
        <w:t xml:space="preserve">Wie groß sind die Quadrate? </w:t>
      </w:r>
    </w:p>
    <w:p w:rsidR="00BB2303" w:rsidRDefault="00BB2303" w:rsidP="00412C51">
      <w:pPr>
        <w:pBdr>
          <w:bar w:val="single" w:sz="6" w:color="auto"/>
        </w:pBdr>
      </w:pPr>
    </w:p>
    <w:tbl>
      <w:tblPr>
        <w:tblStyle w:val="Tabellenraster"/>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tblGrid>
      <w:tr w:rsidR="00412C51" w:rsidTr="00B46E2D">
        <w:trPr>
          <w:trHeight w:val="567"/>
        </w:trPr>
        <w:tc>
          <w:tcPr>
            <w:tcW w:w="567" w:type="dxa"/>
          </w:tcPr>
          <w:p w:rsidR="00412C51" w:rsidRDefault="00412C51" w:rsidP="00412C51"/>
        </w:tc>
        <w:tc>
          <w:tcPr>
            <w:tcW w:w="567" w:type="dxa"/>
            <w:tcBorders>
              <w:bottom w:val="single" w:sz="12" w:space="0" w:color="auto"/>
            </w:tcBorders>
          </w:tcPr>
          <w:p w:rsidR="00412C51" w:rsidRPr="00652752" w:rsidRDefault="00412C51" w:rsidP="00412C51">
            <w:pPr>
              <w:rPr>
                <w:b/>
              </w:rPr>
            </w:pPr>
            <w:r w:rsidRPr="00652752">
              <w:rPr>
                <w:b/>
              </w:rPr>
              <w:t>A</w:t>
            </w:r>
          </w:p>
        </w:tc>
        <w:tc>
          <w:tcPr>
            <w:tcW w:w="567" w:type="dxa"/>
          </w:tcPr>
          <w:p w:rsidR="00412C51" w:rsidRDefault="00412C51" w:rsidP="00412C51"/>
        </w:tc>
        <w:tc>
          <w:tcPr>
            <w:tcW w:w="567" w:type="dxa"/>
          </w:tcPr>
          <w:p w:rsidR="00412C51" w:rsidRDefault="00412C51" w:rsidP="00412C51"/>
        </w:tc>
        <w:tc>
          <w:tcPr>
            <w:tcW w:w="567" w:type="dxa"/>
            <w:tcBorders>
              <w:bottom w:val="single" w:sz="12" w:space="0" w:color="auto"/>
            </w:tcBorders>
          </w:tcPr>
          <w:p w:rsidR="00412C51" w:rsidRPr="00652752" w:rsidRDefault="00412C51" w:rsidP="00412C51">
            <w:pPr>
              <w:rPr>
                <w:b/>
              </w:rPr>
            </w:pPr>
            <w:r w:rsidRPr="00652752">
              <w:rPr>
                <w:b/>
              </w:rPr>
              <w:t>B</w:t>
            </w:r>
          </w:p>
        </w:tc>
        <w:tc>
          <w:tcPr>
            <w:tcW w:w="567" w:type="dxa"/>
            <w:tcBorders>
              <w:bottom w:val="single" w:sz="12" w:space="0" w:color="auto"/>
            </w:tcBorders>
          </w:tcPr>
          <w:p w:rsidR="00412C51" w:rsidRDefault="00412C51" w:rsidP="00412C51"/>
        </w:tc>
        <w:tc>
          <w:tcPr>
            <w:tcW w:w="567" w:type="dxa"/>
            <w:tcBorders>
              <w:bottom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Borders>
              <w:bottom w:val="single" w:sz="12" w:space="0" w:color="auto"/>
            </w:tcBorders>
          </w:tcPr>
          <w:p w:rsidR="00412C51" w:rsidRPr="00652752" w:rsidRDefault="00412C51" w:rsidP="00412C51">
            <w:pPr>
              <w:rPr>
                <w:b/>
              </w:rPr>
            </w:pPr>
            <w:r w:rsidRPr="00652752">
              <w:rPr>
                <w:b/>
              </w:rPr>
              <w:t>C</w:t>
            </w:r>
          </w:p>
        </w:tc>
        <w:tc>
          <w:tcPr>
            <w:tcW w:w="567" w:type="dxa"/>
            <w:tcBorders>
              <w:bottom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Borders>
              <w:right w:val="single" w:sz="12" w:space="0" w:color="auto"/>
            </w:tcBorders>
          </w:tcPr>
          <w:p w:rsidR="00412C51" w:rsidRDefault="00412C51" w:rsidP="00412C51"/>
        </w:tc>
        <w:tc>
          <w:tcPr>
            <w:tcW w:w="567" w:type="dxa"/>
            <w:tcBorders>
              <w:top w:val="single" w:sz="12" w:space="0" w:color="auto"/>
              <w:left w:val="single" w:sz="12" w:space="0" w:color="auto"/>
              <w:bottom w:val="single" w:sz="12" w:space="0" w:color="auto"/>
              <w:right w:val="single" w:sz="12" w:space="0" w:color="auto"/>
            </w:tcBorders>
          </w:tcPr>
          <w:p w:rsidR="00412C51" w:rsidRPr="00652752" w:rsidRDefault="00412C51" w:rsidP="00412C51">
            <w:pPr>
              <w:rPr>
                <w:b/>
              </w:rPr>
            </w:pPr>
          </w:p>
        </w:tc>
        <w:tc>
          <w:tcPr>
            <w:tcW w:w="567" w:type="dxa"/>
            <w:tcBorders>
              <w:left w:val="single" w:sz="12" w:space="0" w:color="auto"/>
            </w:tcBorders>
          </w:tcPr>
          <w:p w:rsidR="00412C51" w:rsidRDefault="00412C51" w:rsidP="00412C51"/>
        </w:tc>
        <w:tc>
          <w:tcPr>
            <w:tcW w:w="567" w:type="dxa"/>
            <w:tcBorders>
              <w:right w:val="single" w:sz="12" w:space="0" w:color="auto"/>
            </w:tcBorders>
          </w:tcPr>
          <w:p w:rsidR="00412C51" w:rsidRDefault="00412C51" w:rsidP="00412C51"/>
        </w:tc>
        <w:tc>
          <w:tcPr>
            <w:tcW w:w="1701" w:type="dxa"/>
            <w:gridSpan w:val="3"/>
            <w:vMerge w:val="restart"/>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Borders>
              <w:right w:val="single" w:sz="12" w:space="0" w:color="auto"/>
            </w:tcBorders>
          </w:tcPr>
          <w:p w:rsidR="00412C51" w:rsidRDefault="00412C51" w:rsidP="00412C51"/>
        </w:tc>
        <w:tc>
          <w:tcPr>
            <w:tcW w:w="1134" w:type="dxa"/>
            <w:gridSpan w:val="2"/>
            <w:vMerge w:val="restart"/>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Pr>
          <w:p w:rsidR="00412C51" w:rsidRDefault="00412C51" w:rsidP="00412C51"/>
        </w:tc>
        <w:tc>
          <w:tcPr>
            <w:tcW w:w="567" w:type="dxa"/>
            <w:tcBorders>
              <w:top w:val="single" w:sz="12" w:space="0" w:color="auto"/>
            </w:tcBorders>
          </w:tcPr>
          <w:p w:rsidR="00412C51" w:rsidRDefault="00412C51" w:rsidP="00412C51"/>
        </w:tc>
        <w:tc>
          <w:tcPr>
            <w:tcW w:w="567" w:type="dxa"/>
          </w:tcPr>
          <w:p w:rsidR="00412C51" w:rsidRDefault="00412C51" w:rsidP="00412C51"/>
        </w:tc>
        <w:tc>
          <w:tcPr>
            <w:tcW w:w="567" w:type="dxa"/>
            <w:tcBorders>
              <w:right w:val="single" w:sz="12" w:space="0" w:color="auto"/>
            </w:tcBorders>
          </w:tcPr>
          <w:p w:rsidR="00412C51" w:rsidRDefault="00412C51" w:rsidP="00412C51"/>
        </w:tc>
        <w:tc>
          <w:tcPr>
            <w:tcW w:w="1701" w:type="dxa"/>
            <w:gridSpan w:val="3"/>
            <w:vMerge/>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Borders>
              <w:right w:val="single" w:sz="12" w:space="0" w:color="auto"/>
            </w:tcBorders>
          </w:tcPr>
          <w:p w:rsidR="00412C51" w:rsidRDefault="00412C51" w:rsidP="00412C51"/>
        </w:tc>
        <w:tc>
          <w:tcPr>
            <w:tcW w:w="1134" w:type="dxa"/>
            <w:gridSpan w:val="2"/>
            <w:vMerge/>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Borders>
              <w:right w:val="single" w:sz="12" w:space="0" w:color="auto"/>
            </w:tcBorders>
          </w:tcPr>
          <w:p w:rsidR="00412C51" w:rsidRDefault="00412C51" w:rsidP="00412C51"/>
        </w:tc>
        <w:tc>
          <w:tcPr>
            <w:tcW w:w="1701" w:type="dxa"/>
            <w:gridSpan w:val="3"/>
            <w:vMerge/>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Borders>
              <w:top w:val="single" w:sz="12" w:space="0" w:color="auto"/>
            </w:tcBorders>
          </w:tcPr>
          <w:p w:rsidR="00412C51" w:rsidRDefault="00412C51" w:rsidP="00412C51"/>
        </w:tc>
        <w:tc>
          <w:tcPr>
            <w:tcW w:w="567" w:type="dxa"/>
            <w:tcBorders>
              <w:top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Borders>
              <w:top w:val="single" w:sz="12" w:space="0" w:color="auto"/>
            </w:tcBorders>
          </w:tcPr>
          <w:p w:rsidR="00412C51" w:rsidRDefault="00412C51" w:rsidP="00412C51"/>
        </w:tc>
        <w:tc>
          <w:tcPr>
            <w:tcW w:w="567" w:type="dxa"/>
            <w:tcBorders>
              <w:top w:val="single" w:sz="12" w:space="0" w:color="auto"/>
            </w:tcBorders>
          </w:tcPr>
          <w:p w:rsidR="00412C51" w:rsidRDefault="00412C51" w:rsidP="00412C51"/>
        </w:tc>
        <w:tc>
          <w:tcPr>
            <w:tcW w:w="567" w:type="dxa"/>
            <w:tcBorders>
              <w:top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Pr>
          <w:p w:rsidR="00412C51" w:rsidRDefault="00412C51" w:rsidP="00412C51"/>
        </w:tc>
        <w:tc>
          <w:tcPr>
            <w:tcW w:w="567" w:type="dxa"/>
            <w:tcBorders>
              <w:bottom w:val="single" w:sz="12" w:space="0" w:color="auto"/>
            </w:tcBorders>
          </w:tcPr>
          <w:p w:rsidR="00412C51" w:rsidRPr="00652752" w:rsidRDefault="00412C51" w:rsidP="00412C51">
            <w:pPr>
              <w:rPr>
                <w:b/>
              </w:rPr>
            </w:pPr>
            <w:r w:rsidRPr="00652752">
              <w:rPr>
                <w:b/>
              </w:rPr>
              <w:t>D</w:t>
            </w:r>
          </w:p>
        </w:tc>
        <w:tc>
          <w:tcPr>
            <w:tcW w:w="567" w:type="dxa"/>
            <w:tcBorders>
              <w:bottom w:val="single" w:sz="12" w:space="0" w:color="auto"/>
            </w:tcBorders>
          </w:tcPr>
          <w:p w:rsidR="00412C51" w:rsidRDefault="00412C51" w:rsidP="00412C51"/>
        </w:tc>
        <w:tc>
          <w:tcPr>
            <w:tcW w:w="567" w:type="dxa"/>
            <w:tcBorders>
              <w:bottom w:val="single" w:sz="12" w:space="0" w:color="auto"/>
            </w:tcBorders>
          </w:tcPr>
          <w:p w:rsidR="00412C51" w:rsidRDefault="00412C51" w:rsidP="00412C51"/>
        </w:tc>
        <w:tc>
          <w:tcPr>
            <w:tcW w:w="567" w:type="dxa"/>
            <w:tcBorders>
              <w:bottom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Borders>
              <w:right w:val="single" w:sz="12" w:space="0" w:color="auto"/>
            </w:tcBorders>
          </w:tcPr>
          <w:p w:rsidR="00412C51" w:rsidRDefault="00412C51" w:rsidP="00412C51"/>
        </w:tc>
        <w:tc>
          <w:tcPr>
            <w:tcW w:w="2268" w:type="dxa"/>
            <w:gridSpan w:val="4"/>
            <w:vMerge w:val="restart"/>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Borders>
              <w:right w:val="single" w:sz="12" w:space="0" w:color="auto"/>
            </w:tcBorders>
          </w:tcPr>
          <w:p w:rsidR="00412C51" w:rsidRDefault="00412C51" w:rsidP="00412C51"/>
        </w:tc>
        <w:tc>
          <w:tcPr>
            <w:tcW w:w="2268" w:type="dxa"/>
            <w:gridSpan w:val="4"/>
            <w:vMerge/>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Borders>
              <w:right w:val="single" w:sz="12" w:space="0" w:color="auto"/>
            </w:tcBorders>
          </w:tcPr>
          <w:p w:rsidR="00412C51" w:rsidRDefault="00412C51" w:rsidP="00412C51"/>
        </w:tc>
        <w:tc>
          <w:tcPr>
            <w:tcW w:w="2268" w:type="dxa"/>
            <w:gridSpan w:val="4"/>
            <w:vMerge/>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Borders>
              <w:right w:val="single" w:sz="12" w:space="0" w:color="auto"/>
            </w:tcBorders>
          </w:tcPr>
          <w:p w:rsidR="00412C51" w:rsidRDefault="00412C51" w:rsidP="00412C51"/>
        </w:tc>
        <w:tc>
          <w:tcPr>
            <w:tcW w:w="2268" w:type="dxa"/>
            <w:gridSpan w:val="4"/>
            <w:vMerge/>
            <w:tcBorders>
              <w:left w:val="single" w:sz="12" w:space="0" w:color="auto"/>
              <w:right w:val="single" w:sz="12" w:space="0" w:color="auto"/>
            </w:tcBorders>
          </w:tcPr>
          <w:p w:rsidR="00412C51" w:rsidRDefault="00412C51" w:rsidP="00412C51"/>
        </w:tc>
        <w:tc>
          <w:tcPr>
            <w:tcW w:w="567" w:type="dxa"/>
            <w:tcBorders>
              <w:left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r w:rsidR="00412C51" w:rsidTr="00B46E2D">
        <w:trPr>
          <w:trHeight w:val="567"/>
        </w:trPr>
        <w:tc>
          <w:tcPr>
            <w:tcW w:w="567" w:type="dxa"/>
          </w:tcPr>
          <w:p w:rsidR="00412C51" w:rsidRDefault="00412C51" w:rsidP="00412C51"/>
        </w:tc>
        <w:tc>
          <w:tcPr>
            <w:tcW w:w="567" w:type="dxa"/>
            <w:tcBorders>
              <w:top w:val="single" w:sz="12" w:space="0" w:color="auto"/>
            </w:tcBorders>
          </w:tcPr>
          <w:p w:rsidR="00412C51" w:rsidRDefault="00412C51" w:rsidP="00412C51"/>
        </w:tc>
        <w:tc>
          <w:tcPr>
            <w:tcW w:w="567" w:type="dxa"/>
            <w:tcBorders>
              <w:top w:val="single" w:sz="12" w:space="0" w:color="auto"/>
            </w:tcBorders>
          </w:tcPr>
          <w:p w:rsidR="00412C51" w:rsidRDefault="00412C51" w:rsidP="00412C51"/>
        </w:tc>
        <w:tc>
          <w:tcPr>
            <w:tcW w:w="567" w:type="dxa"/>
            <w:tcBorders>
              <w:top w:val="single" w:sz="12" w:space="0" w:color="auto"/>
            </w:tcBorders>
          </w:tcPr>
          <w:p w:rsidR="00412C51" w:rsidRDefault="00412C51" w:rsidP="00412C51"/>
        </w:tc>
        <w:tc>
          <w:tcPr>
            <w:tcW w:w="567" w:type="dxa"/>
            <w:tcBorders>
              <w:top w:val="single" w:sz="12" w:space="0" w:color="auto"/>
            </w:tcBorders>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c>
          <w:tcPr>
            <w:tcW w:w="567" w:type="dxa"/>
          </w:tcPr>
          <w:p w:rsidR="00412C51" w:rsidRDefault="00412C51" w:rsidP="00412C51"/>
        </w:tc>
      </w:tr>
    </w:tbl>
    <w:p w:rsidR="00412C51" w:rsidRDefault="00412C51" w:rsidP="00412C51">
      <w:pPr>
        <w:pBdr>
          <w:bar w:val="single" w:sz="6" w:color="auto"/>
        </w:pBdr>
      </w:pPr>
    </w:p>
    <w:p w:rsidR="00552623" w:rsidRDefault="00552623" w:rsidP="00412C51">
      <w:pPr>
        <w:pBdr>
          <w:bar w:val="single" w:sz="6" w:color="auto"/>
        </w:pBdr>
      </w:pPr>
    </w:p>
    <w:p w:rsidR="00B46E2D" w:rsidRDefault="00B46E2D" w:rsidP="00412C51">
      <w:pPr>
        <w:pBdr>
          <w:bar w:val="single" w:sz="6" w:color="auto"/>
        </w:pBdr>
      </w:pPr>
      <w:r>
        <w:lastRenderedPageBreak/>
        <w:t xml:space="preserve">Quadrat A ist______    </w:t>
      </w:r>
      <w:r w:rsidRPr="00B46E2D">
        <w:rPr>
          <w:u w:val="single"/>
        </w:rPr>
        <w:t>cm²</w:t>
      </w:r>
      <w:r>
        <w:t xml:space="preserve"> </w:t>
      </w:r>
      <w:r w:rsidR="00552623">
        <w:tab/>
      </w:r>
      <w:r>
        <w:t>groß.</w:t>
      </w:r>
    </w:p>
    <w:p w:rsidR="00B46E2D" w:rsidRDefault="00552623" w:rsidP="00412C51">
      <w:pPr>
        <w:pBdr>
          <w:bar w:val="single" w:sz="6" w:color="auto"/>
        </w:pBdr>
      </w:pPr>
      <w:r>
        <w:t>Quadrat B ist ______   ____</w:t>
      </w:r>
      <w:r>
        <w:tab/>
      </w:r>
      <w:r w:rsidR="00B46E2D">
        <w:t xml:space="preserve"> groß.</w:t>
      </w:r>
    </w:p>
    <w:p w:rsidR="00B46E2D" w:rsidRDefault="00552623" w:rsidP="00412C51">
      <w:pPr>
        <w:pBdr>
          <w:bar w:val="single" w:sz="6" w:color="auto"/>
        </w:pBdr>
      </w:pPr>
      <w:r>
        <w:t>Quadrat C ist ______   ____</w:t>
      </w:r>
      <w:r>
        <w:tab/>
      </w:r>
      <w:r w:rsidR="00B46E2D">
        <w:t>groß.</w:t>
      </w:r>
    </w:p>
    <w:p w:rsidR="00B46E2D" w:rsidRDefault="00B46E2D" w:rsidP="00412C51">
      <w:pPr>
        <w:pBdr>
          <w:bar w:val="single" w:sz="6" w:color="auto"/>
        </w:pBdr>
      </w:pPr>
      <w:r>
        <w:t>Quadrat D ist _____   _____   groß.</w:t>
      </w:r>
    </w:p>
    <w:p w:rsidR="00D83B2B" w:rsidRDefault="00D83B2B" w:rsidP="002E2E53">
      <w:pPr>
        <w:rPr>
          <w:rFonts w:asciiTheme="majorHAnsi" w:eastAsiaTheme="majorEastAsia" w:hAnsiTheme="majorHAnsi" w:cstheme="majorBidi"/>
          <w:b/>
          <w:bCs/>
          <w:color w:val="365F91" w:themeColor="accent1" w:themeShade="BF"/>
          <w:sz w:val="28"/>
          <w:szCs w:val="28"/>
        </w:rPr>
      </w:pPr>
    </w:p>
    <w:p w:rsidR="00552623" w:rsidRPr="002E2E53" w:rsidRDefault="00552623" w:rsidP="002E2E53">
      <w:pPr>
        <w:rPr>
          <w:rFonts w:asciiTheme="majorHAnsi" w:eastAsiaTheme="majorEastAsia" w:hAnsiTheme="majorHAnsi" w:cstheme="majorBidi"/>
          <w:b/>
          <w:bCs/>
          <w:color w:val="365F91" w:themeColor="accent1" w:themeShade="BF"/>
          <w:sz w:val="28"/>
          <w:szCs w:val="28"/>
        </w:rPr>
        <w:sectPr w:rsidR="00552623" w:rsidRPr="002E2E53" w:rsidSect="00552623">
          <w:headerReference w:type="default" r:id="rId9"/>
          <w:footerReference w:type="default" r:id="rId10"/>
          <w:headerReference w:type="first" r:id="rId11"/>
          <w:type w:val="continuous"/>
          <w:pgSz w:w="11906" w:h="16838"/>
          <w:pgMar w:top="1417" w:right="1417" w:bottom="1134" w:left="1417" w:header="708" w:footer="708" w:gutter="0"/>
          <w:cols w:space="708"/>
          <w:docGrid w:linePitch="360"/>
        </w:sectPr>
      </w:pPr>
    </w:p>
    <w:p w:rsidR="00660A83" w:rsidRPr="00552623" w:rsidRDefault="00CE3A9D" w:rsidP="00CE3A9D">
      <w:pPr>
        <w:rPr>
          <w:b/>
        </w:rPr>
      </w:pPr>
      <w:r w:rsidRPr="00552623">
        <w:rPr>
          <w:b/>
        </w:rPr>
        <w:lastRenderedPageBreak/>
        <w:t>Le</w:t>
      </w:r>
      <w:r w:rsidR="00660A83" w:rsidRPr="00552623">
        <w:rPr>
          <w:b/>
        </w:rPr>
        <w:t>hrerinformation</w:t>
      </w:r>
    </w:p>
    <w:p w:rsidR="00B263C4" w:rsidRDefault="009E64DE" w:rsidP="00B263C4">
      <w:r w:rsidRPr="00444E66">
        <w:rPr>
          <w:b/>
        </w:rPr>
        <w:t>Zielgruppe:</w:t>
      </w:r>
      <w:r w:rsidR="00B263C4">
        <w:t xml:space="preserve"> Schülerinnen und Schüler in den zieldifferenten Bildungsgängen</w:t>
      </w:r>
    </w:p>
    <w:p w:rsidR="00567704" w:rsidRPr="00567704" w:rsidRDefault="003A47BB" w:rsidP="00552623">
      <w:pPr>
        <w:rPr>
          <w:b/>
        </w:rPr>
      </w:pPr>
      <w:r>
        <w:rPr>
          <w:b/>
        </w:rPr>
        <w:t xml:space="preserve">Kompetenzerwartung und </w:t>
      </w:r>
      <w:r w:rsidR="00B263C4" w:rsidRPr="00567704">
        <w:rPr>
          <w:b/>
        </w:rPr>
        <w:t xml:space="preserve">Bezug zum Kernlehrplan </w:t>
      </w:r>
    </w:p>
    <w:p w:rsidR="007C678E" w:rsidRDefault="00920101" w:rsidP="007C678E">
      <w:pPr>
        <w:spacing w:after="0"/>
      </w:pPr>
      <w:r>
        <w:t xml:space="preserve">Diese Aufgabe trägt zur Förderung der folgenden Kompetenzen bei, die laut Kernlehrplan für die </w:t>
      </w:r>
      <w:r w:rsidRPr="00444E66">
        <w:rPr>
          <w:b/>
        </w:rPr>
        <w:t>Hauptschule</w:t>
      </w:r>
      <w:r>
        <w:t xml:space="preserve"> in NRW am Ende der jeweils angegebenen Jahrgangsstufe erreicht sein sollen, wobei die prozessbezogenen Kompetenzen generell ab Beginn der Jahrgangsstufe 5 gefördert werden.</w:t>
      </w:r>
      <w:r>
        <w:rPr>
          <w:rStyle w:val="Funotenzeichen"/>
          <w:b/>
        </w:rPr>
        <w:footnoteReference w:id="1"/>
      </w:r>
    </w:p>
    <w:p w:rsidR="007C678E" w:rsidRDefault="007C678E" w:rsidP="007C678E">
      <w:pPr>
        <w:spacing w:after="0"/>
        <w:ind w:firstLine="708"/>
      </w:pPr>
    </w:p>
    <w:p w:rsidR="007C678E" w:rsidRDefault="007C678E" w:rsidP="007C678E">
      <w:pPr>
        <w:spacing w:after="0"/>
        <w:ind w:firstLine="708"/>
        <w:rPr>
          <w:b/>
        </w:rPr>
      </w:pPr>
      <w:r w:rsidRPr="00444E66">
        <w:rPr>
          <w:b/>
        </w:rPr>
        <w:t>Inhaltsbezogene Kompetenzen:</w:t>
      </w:r>
    </w:p>
    <w:p w:rsidR="00920101" w:rsidRPr="00920101" w:rsidRDefault="00920101" w:rsidP="007C678E">
      <w:pPr>
        <w:spacing w:after="0"/>
        <w:ind w:firstLine="708"/>
      </w:pPr>
      <w:r>
        <w:t>Bis Ende Jahrgangsstufe 6:</w:t>
      </w:r>
    </w:p>
    <w:p w:rsidR="007C678E" w:rsidRDefault="007C678E" w:rsidP="007C678E">
      <w:pPr>
        <w:ind w:left="708"/>
      </w:pPr>
      <w:r w:rsidRPr="002A0043">
        <w:rPr>
          <w:i/>
        </w:rPr>
        <w:t xml:space="preserve">Geometrie – </w:t>
      </w:r>
      <w:proofErr w:type="spellStart"/>
      <w:r w:rsidRPr="002A0043">
        <w:rPr>
          <w:i/>
        </w:rPr>
        <w:t>ebene</w:t>
      </w:r>
      <w:proofErr w:type="spellEnd"/>
      <w:r w:rsidRPr="002A0043">
        <w:rPr>
          <w:i/>
        </w:rPr>
        <w:t xml:space="preserve"> und räumliche Strukturen nach Maß und Form erfassen können: </w:t>
      </w:r>
      <w:r>
        <w:t>Die Schülerinnen und Schüler bestimmen Flächeninhalte von Rechtecken.</w:t>
      </w:r>
      <w:r>
        <w:rPr>
          <w:rStyle w:val="Funotenzeichen"/>
        </w:rPr>
        <w:footnoteReference w:id="2"/>
      </w:r>
      <w:r>
        <w:t xml:space="preserve"> </w:t>
      </w:r>
    </w:p>
    <w:p w:rsidR="007C678E" w:rsidRDefault="007C678E" w:rsidP="00567704">
      <w:pPr>
        <w:spacing w:after="0"/>
      </w:pPr>
    </w:p>
    <w:p w:rsidR="00920101" w:rsidRPr="00390671" w:rsidRDefault="00920101" w:rsidP="00920101">
      <w:pPr>
        <w:rPr>
          <w:b/>
        </w:rPr>
      </w:pPr>
      <w:r w:rsidRPr="00FB12CC">
        <w:rPr>
          <w:b/>
        </w:rPr>
        <w:t>Zur Information:</w:t>
      </w:r>
      <w:r>
        <w:rPr>
          <w:b/>
        </w:rPr>
        <w:t xml:space="preserve"> </w:t>
      </w:r>
      <w:r>
        <w:t xml:space="preserve">Einordnung in den Kernlehrplan für das </w:t>
      </w:r>
      <w:r w:rsidRPr="00FB12CC">
        <w:rPr>
          <w:b/>
        </w:rPr>
        <w:t>Gymnasium</w:t>
      </w:r>
      <w:r>
        <w:t xml:space="preserve"> in NRW</w:t>
      </w:r>
    </w:p>
    <w:p w:rsidR="00920101" w:rsidRDefault="00920101" w:rsidP="00920101">
      <w:pPr>
        <w:spacing w:after="0"/>
        <w:ind w:firstLine="708"/>
      </w:pPr>
      <w:r>
        <w:t xml:space="preserve">Kompetenzerwartungen am Ende der Jahrgangsstufe 6: </w:t>
      </w:r>
    </w:p>
    <w:p w:rsidR="00920101" w:rsidRPr="00444E66" w:rsidRDefault="00082BBF" w:rsidP="00920101">
      <w:pPr>
        <w:spacing w:after="0"/>
        <w:ind w:firstLine="708"/>
        <w:rPr>
          <w:b/>
        </w:rPr>
      </w:pPr>
      <w:r w:rsidRPr="00444E66">
        <w:rPr>
          <w:b/>
        </w:rPr>
        <w:t>Inhaltsbezogene Kompetenzen:</w:t>
      </w:r>
    </w:p>
    <w:p w:rsidR="00082BBF" w:rsidRDefault="00552623" w:rsidP="00444E66">
      <w:pPr>
        <w:spacing w:after="0"/>
        <w:ind w:left="708"/>
      </w:pPr>
      <w:r>
        <w:rPr>
          <w:i/>
        </w:rPr>
        <w:t xml:space="preserve">Geometrie – </w:t>
      </w:r>
      <w:proofErr w:type="spellStart"/>
      <w:r>
        <w:rPr>
          <w:i/>
        </w:rPr>
        <w:t>ebene</w:t>
      </w:r>
      <w:proofErr w:type="spellEnd"/>
      <w:r>
        <w:rPr>
          <w:i/>
        </w:rPr>
        <w:t xml:space="preserve"> und räum</w:t>
      </w:r>
      <w:r w:rsidR="00082BBF" w:rsidRPr="00444E66">
        <w:rPr>
          <w:i/>
        </w:rPr>
        <w:t>liche Strukturen nach Maß und Form erfassen:</w:t>
      </w:r>
      <w:r w:rsidR="00082BBF">
        <w:t xml:space="preserve"> Die Schülerinnen und Schüler schätzen und bestimmen </w:t>
      </w:r>
      <w:r w:rsidR="00082BBF">
        <w:rPr>
          <w:rFonts w:cstheme="minorHAnsi"/>
        </w:rPr>
        <w:t>[</w:t>
      </w:r>
      <w:r w:rsidR="00082BBF">
        <w:t>…</w:t>
      </w:r>
      <w:r w:rsidR="00082BBF">
        <w:rPr>
          <w:rFonts w:cstheme="minorHAnsi"/>
        </w:rPr>
        <w:t>]</w:t>
      </w:r>
      <w:r w:rsidR="00082BBF">
        <w:t xml:space="preserve"> Flächeninhalt von Rechtecken </w:t>
      </w:r>
      <w:r w:rsidR="00082BBF">
        <w:rPr>
          <w:rFonts w:cstheme="minorHAnsi"/>
        </w:rPr>
        <w:t>[</w:t>
      </w:r>
      <w:r w:rsidR="00082BBF">
        <w:t>…</w:t>
      </w:r>
      <w:r w:rsidR="00082BBF">
        <w:rPr>
          <w:rFonts w:cstheme="minorHAnsi"/>
        </w:rPr>
        <w:t>]</w:t>
      </w:r>
      <w:r w:rsidR="00082BBF">
        <w:t>.</w:t>
      </w:r>
      <w:r w:rsidR="00082BBF">
        <w:rPr>
          <w:rStyle w:val="Funotenzeichen"/>
        </w:rPr>
        <w:footnoteReference w:id="3"/>
      </w:r>
    </w:p>
    <w:p w:rsidR="00B263C4" w:rsidRDefault="00B263C4" w:rsidP="00B263C4">
      <w:pPr>
        <w:spacing w:after="0"/>
      </w:pPr>
    </w:p>
    <w:p w:rsidR="0015753E" w:rsidRPr="00444E66" w:rsidRDefault="009E64DE" w:rsidP="00444E66">
      <w:pPr>
        <w:spacing w:after="0"/>
        <w:rPr>
          <w:b/>
        </w:rPr>
      </w:pPr>
      <w:r w:rsidRPr="00444E66">
        <w:rPr>
          <w:b/>
        </w:rPr>
        <w:t>Didaktischer Kommentar:</w:t>
      </w:r>
    </w:p>
    <w:p w:rsidR="00920101" w:rsidRDefault="00920101" w:rsidP="00920101">
      <w:r>
        <w:t xml:space="preserve">Die </w:t>
      </w:r>
      <w:r w:rsidR="00BA2DD7">
        <w:t>Schülerinnen und Schüler bestimmen Flächeninhalte</w:t>
      </w:r>
      <w:r>
        <w:t>, indem sie die jeweilige Fläche mit Kacheln von 1cm² (1cm ∙ 1cm) auslegen und diese abzählen.</w:t>
      </w:r>
    </w:p>
    <w:p w:rsidR="00BA2DD7" w:rsidRDefault="00BA2DD7" w:rsidP="00444E66">
      <w:pPr>
        <w:spacing w:after="0"/>
      </w:pPr>
      <w:r>
        <w:t xml:space="preserve">Es werden </w:t>
      </w:r>
      <w:r w:rsidR="00920101" w:rsidRPr="00552623">
        <w:rPr>
          <w:b/>
        </w:rPr>
        <w:t>Grundvorstellung</w:t>
      </w:r>
      <w:r w:rsidRPr="00552623">
        <w:rPr>
          <w:b/>
        </w:rPr>
        <w:t>en</w:t>
      </w:r>
      <w:r>
        <w:t xml:space="preserve"> in den folgenden Bereichen gebildet</w:t>
      </w:r>
      <w:r w:rsidR="00920101">
        <w:t xml:space="preserve">: </w:t>
      </w:r>
    </w:p>
    <w:p w:rsidR="00BA2DD7" w:rsidRDefault="00920101" w:rsidP="00444E66">
      <w:pPr>
        <w:spacing w:after="0"/>
      </w:pPr>
      <w:r>
        <w:t>Geometrie: Flächeninhalt, Ausdehnungs-Vorstellung</w:t>
      </w:r>
      <w:r w:rsidR="00BA2DD7">
        <w:t>,</w:t>
      </w:r>
      <w:r>
        <w:t xml:space="preserve"> </w:t>
      </w:r>
    </w:p>
    <w:p w:rsidR="00920101" w:rsidRDefault="00920101" w:rsidP="00444E66">
      <w:pPr>
        <w:spacing w:after="0"/>
      </w:pPr>
      <w:r>
        <w:t xml:space="preserve">Arithmetik: Division natürlicher Zahlen: </w:t>
      </w:r>
      <w:proofErr w:type="spellStart"/>
      <w:r>
        <w:t>Aufteil</w:t>
      </w:r>
      <w:proofErr w:type="spellEnd"/>
      <w:r>
        <w:t xml:space="preserve">-Vorstellung. </w:t>
      </w:r>
    </w:p>
    <w:p w:rsidR="00BA2DD7" w:rsidRDefault="00BA2DD7" w:rsidP="00444E66">
      <w:pPr>
        <w:spacing w:after="0"/>
      </w:pPr>
    </w:p>
    <w:p w:rsidR="00EF70F1" w:rsidRDefault="00B263C4" w:rsidP="00B263C4">
      <w:r>
        <w:t xml:space="preserve">Die Schülerinnen und Schüler in den zieldifferenten Bildungsgängen </w:t>
      </w:r>
      <w:r w:rsidR="00552623">
        <w:t>bestimmen den Flächeninhalt der</w:t>
      </w:r>
      <w:r w:rsidR="00EF70F1">
        <w:t xml:space="preserve"> </w:t>
      </w:r>
      <w:r w:rsidR="00B83530">
        <w:t>Fläche</w:t>
      </w:r>
      <w:r w:rsidR="00552623">
        <w:t>n</w:t>
      </w:r>
      <w:r w:rsidR="00EF70F1">
        <w:t xml:space="preserve"> der Quadrate handelnd</w:t>
      </w:r>
      <w:r>
        <w:t xml:space="preserve">, indem sie </w:t>
      </w:r>
      <w:r w:rsidR="00552623">
        <w:t>diese</w:t>
      </w:r>
      <w:r>
        <w:t xml:space="preserve"> </w:t>
      </w:r>
      <w:r w:rsidR="00145DED">
        <w:t xml:space="preserve">mit </w:t>
      </w:r>
      <w:r w:rsidR="00552623">
        <w:t xml:space="preserve">Quadraten in der </w:t>
      </w:r>
      <w:r w:rsidR="00550C70">
        <w:lastRenderedPageBreak/>
        <w:t>Maße</w:t>
      </w:r>
      <w:r w:rsidR="00552623">
        <w:t>inheit</w:t>
      </w:r>
      <w:r w:rsidR="00145DED">
        <w:t xml:space="preserve"> von </w:t>
      </w:r>
      <w:r w:rsidR="005A3BDB">
        <w:t>einem Quadratzentimeter</w:t>
      </w:r>
      <w:r w:rsidR="00145DED">
        <w:t xml:space="preserve"> </w:t>
      </w:r>
      <w:r>
        <w:t>ausleg</w:t>
      </w:r>
      <w:r w:rsidR="00EF70F1">
        <w:t xml:space="preserve">en. </w:t>
      </w:r>
      <w:r w:rsidR="00552623">
        <w:t xml:space="preserve">Durch die wiederholte Anwendung können die Lernenden eine Vorstellung von der Maßeinheit „Quadratzentimeter“ </w:t>
      </w:r>
      <w:r w:rsidR="00A56859">
        <w:t>entwickeln</w:t>
      </w:r>
      <w:r w:rsidR="00552623">
        <w:t xml:space="preserve">. </w:t>
      </w:r>
      <w:r w:rsidR="00552623">
        <w:br/>
      </w:r>
      <w:r w:rsidR="00EF70F1">
        <w:t xml:space="preserve">Die Aufgabe verfolgt das Ziel, </w:t>
      </w:r>
      <w:r w:rsidR="00552623">
        <w:t>den</w:t>
      </w:r>
      <w:r w:rsidR="00EF70F1">
        <w:t xml:space="preserve"> </w:t>
      </w:r>
      <w:r w:rsidR="00535D5A">
        <w:t xml:space="preserve">Schülerinnen und </w:t>
      </w:r>
      <w:r w:rsidR="00145DED">
        <w:t>S</w:t>
      </w:r>
      <w:r w:rsidR="00EF70F1">
        <w:t xml:space="preserve">chüler </w:t>
      </w:r>
      <w:r w:rsidR="00552623">
        <w:t>begreifbar zu machen, dass ein</w:t>
      </w:r>
      <w:r w:rsidR="00145DED">
        <w:t xml:space="preserve"> Fläche</w:t>
      </w:r>
      <w:r w:rsidR="00552623">
        <w:t>ninhalt</w:t>
      </w:r>
      <w:r w:rsidR="00145DED">
        <w:t xml:space="preserve"> </w:t>
      </w:r>
      <w:r w:rsidR="00552623">
        <w:t>dadurch ermittelt werden kann</w:t>
      </w:r>
      <w:r w:rsidR="00145DED">
        <w:t xml:space="preserve">, indem </w:t>
      </w:r>
      <w:r w:rsidR="00552623">
        <w:t xml:space="preserve">die Fläche </w:t>
      </w:r>
      <w:r w:rsidR="00145DED">
        <w:t>ausgelegt oder unterteilt wird.</w:t>
      </w:r>
      <w:r w:rsidR="00EF70F1">
        <w:t xml:space="preserve"> </w:t>
      </w:r>
    </w:p>
    <w:p w:rsidR="00B263C4" w:rsidRDefault="00C14092" w:rsidP="00C14092">
      <w:r>
        <w:t xml:space="preserve">Insbesondere die Größen </w:t>
      </w:r>
      <w:r w:rsidR="005A3BDB">
        <w:t>Quadratzentimeter und Quadratmeter</w:t>
      </w:r>
      <w:r>
        <w:t xml:space="preserve">  haben hohe Relevanz</w:t>
      </w:r>
      <w:r w:rsidR="005A3BDB">
        <w:t xml:space="preserve"> für die Schülerinnen und Schüler</w:t>
      </w:r>
      <w:r>
        <w:t>. D</w:t>
      </w:r>
      <w:r w:rsidR="00FE31D5">
        <w:t>er</w:t>
      </w:r>
      <w:r>
        <w:t xml:space="preserve"> Größe </w:t>
      </w:r>
      <w:r w:rsidR="005A3BDB">
        <w:t>Quadratmeter</w:t>
      </w:r>
      <w:r>
        <w:t xml:space="preserve"> </w:t>
      </w:r>
      <w:r w:rsidR="00FD7560">
        <w:t>begegnen die Schülerinnen und Schüler in ihre</w:t>
      </w:r>
      <w:r w:rsidR="00A56859">
        <w:t>r</w:t>
      </w:r>
      <w:r w:rsidR="005A3BDB">
        <w:t xml:space="preserve"> </w:t>
      </w:r>
      <w:r w:rsidR="00A56859">
        <w:t>Lebenswelt</w:t>
      </w:r>
      <w:r w:rsidR="00FD7560">
        <w:t xml:space="preserve"> und sie hat hohe Bedeutung </w:t>
      </w:r>
      <w:r w:rsidR="00EE4188">
        <w:t xml:space="preserve">bei vielen </w:t>
      </w:r>
      <w:r w:rsidR="00FD7560">
        <w:t xml:space="preserve">handwerklichen </w:t>
      </w:r>
      <w:r w:rsidR="00EE4188">
        <w:t>Tätigkeiten</w:t>
      </w:r>
      <w:r>
        <w:t>.</w:t>
      </w:r>
      <w:r w:rsidR="00EE4188">
        <w:t xml:space="preserve"> </w:t>
      </w:r>
      <w:r w:rsidR="00A56859">
        <w:br/>
      </w:r>
      <w:r w:rsidR="00EE4188">
        <w:t>Zu</w:t>
      </w:r>
      <w:r w:rsidR="00FE31D5">
        <w:t xml:space="preserve">r </w:t>
      </w:r>
      <w:r w:rsidR="00A56859">
        <w:t xml:space="preserve">weiteren </w:t>
      </w:r>
      <w:r w:rsidR="00FE31D5">
        <w:t>Vertiefung</w:t>
      </w:r>
      <w:r w:rsidR="00EE4188">
        <w:t xml:space="preserve"> </w:t>
      </w:r>
      <w:r w:rsidR="00A56859">
        <w:t>bieten sich Aufgaben an</w:t>
      </w:r>
      <w:r w:rsidR="00EE4188">
        <w:t>, bei denen die Ausdehnung von größeren Flächen gemessen oder geschätzt wird, indem diese ganz oder teilweise mit Kacheln  der Maßeinheit</w:t>
      </w:r>
      <w:r w:rsidR="00D90617">
        <w:t xml:space="preserve"> Quadratmeter</w:t>
      </w:r>
      <w:r w:rsidR="00A56859">
        <w:t xml:space="preserve"> </w:t>
      </w:r>
      <w:r w:rsidR="00EE4188">
        <w:t>ausgelegt werden.</w:t>
      </w:r>
      <w:r w:rsidR="00A56859">
        <w:t xml:space="preserve"> In gängigen Lehrwerken finden sich hierzu entsprechende Aufgabenbeispiele.</w:t>
      </w:r>
    </w:p>
    <w:p w:rsidR="00A56859" w:rsidRPr="000A1F8D" w:rsidRDefault="00A56859" w:rsidP="00A56859">
      <w:pPr>
        <w:spacing w:after="0"/>
        <w:rPr>
          <w:b/>
        </w:rPr>
      </w:pPr>
      <w:r>
        <w:rPr>
          <w:b/>
        </w:rPr>
        <w:t>Impulse zur Binnend</w:t>
      </w:r>
      <w:r w:rsidRPr="000A1F8D">
        <w:rPr>
          <w:b/>
        </w:rPr>
        <w:t>ifferenzierung</w:t>
      </w:r>
      <w:r>
        <w:rPr>
          <w:b/>
        </w:rPr>
        <w:t>/zum zieldifferenten Lernen</w:t>
      </w:r>
      <w:r w:rsidRPr="000A1F8D">
        <w:rPr>
          <w:b/>
        </w:rPr>
        <w:t>:</w:t>
      </w:r>
    </w:p>
    <w:p w:rsidR="00A56859" w:rsidRDefault="00A56859" w:rsidP="00A56859">
      <w:r>
        <w:t>Damit sich die Schülerinnen und Schüler effektiv mit der Lösung der mathematischen Aufgabe beschäftigen können, bietet es sich, die</w:t>
      </w:r>
      <w:r w:rsidR="00FD7560">
        <w:t xml:space="preserve"> </w:t>
      </w:r>
      <w:r w:rsidR="00D90617">
        <w:t>Quadratzentimeter-</w:t>
      </w:r>
      <w:r>
        <w:t xml:space="preserve">Kacheln </w:t>
      </w:r>
      <w:r w:rsidR="00FD7560">
        <w:t>a</w:t>
      </w:r>
      <w:r w:rsidR="00D963A1">
        <w:t>us</w:t>
      </w:r>
      <w:r w:rsidR="00FD7560">
        <w:t>ge</w:t>
      </w:r>
      <w:r w:rsidR="00D963A1">
        <w:t>schn</w:t>
      </w:r>
      <w:r w:rsidR="00FD7560">
        <w:t xml:space="preserve">itten </w:t>
      </w:r>
      <w:r>
        <w:t>anzubieten</w:t>
      </w:r>
      <w:r w:rsidR="00FD7560">
        <w:t xml:space="preserve">. </w:t>
      </w:r>
      <w:r>
        <w:br/>
        <w:t>Hinsichtlich des Anspruchs an feinmotorische Fertigkeiten und der Auge-Hand-Koordination erleichtern farbige Kacheln aus Pappe die Aufgabe.</w:t>
      </w:r>
    </w:p>
    <w:p w:rsidR="00D963A1" w:rsidRDefault="00FD7560" w:rsidP="00A56859">
      <w:r>
        <w:t xml:space="preserve">Alternativ können auch die Einer-Würfel aus dem </w:t>
      </w:r>
      <w:r w:rsidR="00A56859">
        <w:t>Zehner-System-Material</w:t>
      </w:r>
      <w:r>
        <w:t xml:space="preserve"> genutzt werden. Diese sind</w:t>
      </w:r>
      <w:r w:rsidR="00CE3A9D">
        <w:t xml:space="preserve"> handlicher, haben jedoch den Na</w:t>
      </w:r>
      <w:r>
        <w:t>chteil, dass sie nicht nur eine Fläche sondern auch ein Volumen haben.</w:t>
      </w:r>
    </w:p>
    <w:p w:rsidR="0015753E" w:rsidRPr="00444E66" w:rsidRDefault="009E64DE" w:rsidP="00A56859">
      <w:pPr>
        <w:spacing w:after="0"/>
        <w:rPr>
          <w:b/>
        </w:rPr>
      </w:pPr>
      <w:r w:rsidRPr="00444E66">
        <w:rPr>
          <w:b/>
        </w:rPr>
        <w:t>Material:</w:t>
      </w:r>
    </w:p>
    <w:p w:rsidR="00AB6C49" w:rsidRDefault="00AB6C49" w:rsidP="00A56859">
      <w:r>
        <w:t>Ausgeschnittene Quadratzentimeter-Kacheln</w:t>
      </w:r>
    </w:p>
    <w:p w:rsidR="00FD7560" w:rsidRPr="00660A83" w:rsidRDefault="00FD7560" w:rsidP="00660A83"/>
    <w:p w:rsidR="00660A83" w:rsidRPr="00660A83" w:rsidRDefault="00660A83" w:rsidP="00660A83"/>
    <w:p w:rsidR="005E2EFB" w:rsidRDefault="005E2EFB"/>
    <w:p w:rsidR="005E2EFB" w:rsidRDefault="005E2EFB"/>
    <w:sectPr w:rsidR="005E2EFB" w:rsidSect="00552623">
      <w:headerReference w:type="default"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0A" w:rsidRDefault="00D2580A" w:rsidP="005E2EFB">
      <w:pPr>
        <w:spacing w:after="0" w:line="240" w:lineRule="auto"/>
      </w:pPr>
      <w:r>
        <w:separator/>
      </w:r>
    </w:p>
  </w:endnote>
  <w:endnote w:type="continuationSeparator" w:id="0">
    <w:p w:rsidR="00D2580A" w:rsidRDefault="00D2580A"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87248618"/>
        <w:docPartObj>
          <w:docPartGallery w:val="Page Numbers (Bottom of Page)"/>
          <w:docPartUnique/>
        </w:docPartObj>
      </w:sdtPr>
      <w:sdtEndPr>
        <w:rPr>
          <w:rFonts w:asciiTheme="minorHAnsi" w:eastAsiaTheme="minorHAnsi" w:hAnsiTheme="minorHAnsi" w:cstheme="minorBidi"/>
          <w:sz w:val="24"/>
          <w:szCs w:val="22"/>
        </w:rPr>
      </w:sdtEndPr>
      <w:sdtContent>
        <w:tr w:rsidR="00552623">
          <w:trPr>
            <w:trHeight w:val="727"/>
          </w:trPr>
          <w:tc>
            <w:tcPr>
              <w:tcW w:w="4000" w:type="pct"/>
              <w:tcBorders>
                <w:right w:val="triple" w:sz="4" w:space="0" w:color="4F81BD" w:themeColor="accent1"/>
              </w:tcBorders>
            </w:tcPr>
            <w:p w:rsidR="00552623" w:rsidRDefault="0055262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52623" w:rsidRDefault="0055262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F6EF6">
                <w:rPr>
                  <w:noProof/>
                </w:rPr>
                <w:t>1</w:t>
              </w:r>
              <w:r>
                <w:fldChar w:fldCharType="end"/>
              </w:r>
            </w:p>
          </w:tc>
        </w:tr>
      </w:sdtContent>
    </w:sdt>
  </w:tbl>
  <w:p w:rsidR="00552623" w:rsidRDefault="005526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728491864"/>
        <w:docPartObj>
          <w:docPartGallery w:val="Page Numbers (Bottom of Page)"/>
          <w:docPartUnique/>
        </w:docPartObj>
      </w:sdtPr>
      <w:sdtEndPr>
        <w:rPr>
          <w:rFonts w:asciiTheme="minorHAnsi" w:eastAsiaTheme="minorHAnsi" w:hAnsiTheme="minorHAnsi" w:cstheme="minorBidi"/>
          <w:sz w:val="24"/>
          <w:szCs w:val="22"/>
        </w:rPr>
      </w:sdtEndPr>
      <w:sdtContent>
        <w:tr w:rsidR="00552623">
          <w:trPr>
            <w:trHeight w:val="727"/>
          </w:trPr>
          <w:tc>
            <w:tcPr>
              <w:tcW w:w="4000" w:type="pct"/>
              <w:tcBorders>
                <w:right w:val="triple" w:sz="4" w:space="0" w:color="4F81BD" w:themeColor="accent1"/>
              </w:tcBorders>
            </w:tcPr>
            <w:p w:rsidR="00552623" w:rsidRDefault="0055262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52623" w:rsidRDefault="0055262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F6EF6">
                <w:rPr>
                  <w:noProof/>
                </w:rPr>
                <w:t>3</w:t>
              </w:r>
              <w:r>
                <w:fldChar w:fldCharType="end"/>
              </w:r>
            </w:p>
          </w:tc>
        </w:tr>
      </w:sdtContent>
    </w:sdt>
  </w:tbl>
  <w:p w:rsidR="002D69D1" w:rsidRPr="00C73BFF" w:rsidRDefault="002D69D1" w:rsidP="00C73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760982940"/>
        <w:docPartObj>
          <w:docPartGallery w:val="Page Numbers (Bottom of Page)"/>
          <w:docPartUnique/>
        </w:docPartObj>
      </w:sdtPr>
      <w:sdtEndPr>
        <w:rPr>
          <w:rFonts w:asciiTheme="minorHAnsi" w:eastAsiaTheme="minorHAnsi" w:hAnsiTheme="minorHAnsi" w:cstheme="minorBidi"/>
          <w:sz w:val="24"/>
          <w:szCs w:val="22"/>
        </w:rPr>
      </w:sdtEndPr>
      <w:sdtContent>
        <w:tr w:rsidR="00552623">
          <w:trPr>
            <w:trHeight w:val="727"/>
          </w:trPr>
          <w:tc>
            <w:tcPr>
              <w:tcW w:w="4000" w:type="pct"/>
              <w:tcBorders>
                <w:right w:val="triple" w:sz="4" w:space="0" w:color="4F81BD" w:themeColor="accent1"/>
              </w:tcBorders>
            </w:tcPr>
            <w:p w:rsidR="00552623" w:rsidRDefault="0055262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52623" w:rsidRDefault="0055262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0A" w:rsidRDefault="00D2580A" w:rsidP="005E2EFB">
      <w:pPr>
        <w:spacing w:after="0" w:line="240" w:lineRule="auto"/>
      </w:pPr>
      <w:r>
        <w:separator/>
      </w:r>
    </w:p>
  </w:footnote>
  <w:footnote w:type="continuationSeparator" w:id="0">
    <w:p w:rsidR="00D2580A" w:rsidRDefault="00D2580A" w:rsidP="005E2EFB">
      <w:pPr>
        <w:spacing w:after="0" w:line="240" w:lineRule="auto"/>
      </w:pPr>
      <w:r>
        <w:continuationSeparator/>
      </w:r>
    </w:p>
  </w:footnote>
  <w:footnote w:id="1">
    <w:p w:rsidR="00920101" w:rsidRDefault="00920101" w:rsidP="00920101">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920101" w:rsidRDefault="00920101" w:rsidP="00920101">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7C678E" w:rsidRDefault="007C678E" w:rsidP="007C678E">
      <w:pPr>
        <w:pStyle w:val="Funotentext"/>
      </w:pPr>
      <w:r>
        <w:rPr>
          <w:rStyle w:val="Funotenzeichen"/>
        </w:rPr>
        <w:footnoteRef/>
      </w:r>
      <w:r>
        <w:t xml:space="preserve"> Vgl. Kernlehrplan und Richtlinien für die Hauptschule in NRW. Mathematik, MSW, 2011, S. 24.</w:t>
      </w:r>
    </w:p>
  </w:footnote>
  <w:footnote w:id="3">
    <w:p w:rsidR="00082BBF" w:rsidRDefault="00082BBF">
      <w:pPr>
        <w:pStyle w:val="Funotentext"/>
      </w:pPr>
      <w:r>
        <w:rPr>
          <w:rStyle w:val="Funotenzeichen"/>
        </w:rPr>
        <w:footnoteRef/>
      </w:r>
      <w:r>
        <w:t xml:space="preserve"> Vgl. </w:t>
      </w:r>
      <w:r w:rsidRPr="00C15B67">
        <w:t>Kernlehrplan für das Gymnasi</w:t>
      </w:r>
      <w:r>
        <w:t xml:space="preserve">um – Sekundarstufe I (G8) </w:t>
      </w:r>
      <w:r w:rsidRPr="00C15B67">
        <w:t xml:space="preserve">. Mathematik, </w:t>
      </w:r>
      <w:r>
        <w:t>MSW, 2007, S.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1F6EF6">
    <w:pPr>
      <w:pStyle w:val="Kopfzeile"/>
    </w:pPr>
    <w:r>
      <w:t>B1</w:t>
    </w:r>
    <w:r w:rsidR="005E2EFB">
      <w:tab/>
    </w:r>
    <w:fldSimple w:instr=" STYLEREF  Titel  \* MERGEFORMAT ">
      <w:r>
        <w:rPr>
          <w:noProof/>
        </w:rPr>
        <w:t>Wie groß ist das Quadrat? Lege aus.</w:t>
      </w:r>
    </w:fldSimple>
    <w:r w:rsidR="005E2EF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2C18D0">
    <w:pPr>
      <w:pStyle w:val="Kopfzeile"/>
    </w:pPr>
    <w:r>
      <w:t>B1</w:t>
    </w:r>
    <w:r w:rsidR="008B1360">
      <w:tab/>
      <w:t>Flächeninhalt ebener Figuren durch Auslegen bestimmen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Pr="001F6EF6" w:rsidRDefault="001F6EF6" w:rsidP="001F6EF6">
    <w:pPr>
      <w:pStyle w:val="Kopfzeile"/>
    </w:pPr>
    <w:r>
      <w:t>B1</w:t>
    </w:r>
    <w:r>
      <w:tab/>
    </w:r>
    <w:r>
      <w:fldChar w:fldCharType="begin"/>
    </w:r>
    <w:r>
      <w:instrText xml:space="preserve"> STYLEREF  Titel  \* MERGEFORMAT </w:instrText>
    </w:r>
    <w:r>
      <w:fldChar w:fldCharType="separate"/>
    </w:r>
    <w:r>
      <w:rPr>
        <w:noProof/>
      </w:rPr>
      <w:t>Wie groß ist das Quadrat? Lege aus.</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5A6D66" w:rsidP="00444E66">
    <w:pPr>
      <w:pStyle w:val="Kopfzeile"/>
      <w:tabs>
        <w:tab w:val="left" w:pos="885"/>
      </w:tabs>
    </w:pPr>
    <w:r>
      <w:t>B1.</w:t>
    </w:r>
    <w:r w:rsidR="008B1360">
      <w:tab/>
      <w:t>Flächeninhalt ebener Figuren durch Auslegen bestimmen</w:t>
    </w:r>
    <w:r w:rsidR="008B1360">
      <w:tab/>
    </w:r>
    <w:r w:rsidR="002E2E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C63"/>
    <w:multiLevelType w:val="hybridMultilevel"/>
    <w:tmpl w:val="684E1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442A46"/>
    <w:multiLevelType w:val="hybridMultilevel"/>
    <w:tmpl w:val="2CA65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E529D8"/>
    <w:multiLevelType w:val="hybridMultilevel"/>
    <w:tmpl w:val="F4AAD3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0"/>
    <w:rsid w:val="00026F69"/>
    <w:rsid w:val="00082BBF"/>
    <w:rsid w:val="00083388"/>
    <w:rsid w:val="000A4E6D"/>
    <w:rsid w:val="001125D8"/>
    <w:rsid w:val="00145DED"/>
    <w:rsid w:val="0015753E"/>
    <w:rsid w:val="001842A0"/>
    <w:rsid w:val="001C6D2F"/>
    <w:rsid w:val="001D1B9B"/>
    <w:rsid w:val="001F6EF6"/>
    <w:rsid w:val="002C18D0"/>
    <w:rsid w:val="002D69D1"/>
    <w:rsid w:val="002E2E53"/>
    <w:rsid w:val="002E3177"/>
    <w:rsid w:val="00364B00"/>
    <w:rsid w:val="003A47BB"/>
    <w:rsid w:val="00410F0E"/>
    <w:rsid w:val="00412C51"/>
    <w:rsid w:val="00444E66"/>
    <w:rsid w:val="004B4739"/>
    <w:rsid w:val="004C01F7"/>
    <w:rsid w:val="004D7CF2"/>
    <w:rsid w:val="004E4A3A"/>
    <w:rsid w:val="005018A4"/>
    <w:rsid w:val="00535D5A"/>
    <w:rsid w:val="00550C70"/>
    <w:rsid w:val="00552623"/>
    <w:rsid w:val="005643DE"/>
    <w:rsid w:val="00567704"/>
    <w:rsid w:val="00570FB4"/>
    <w:rsid w:val="005A3BDB"/>
    <w:rsid w:val="005A6D66"/>
    <w:rsid w:val="005E2EFB"/>
    <w:rsid w:val="00641C32"/>
    <w:rsid w:val="00652752"/>
    <w:rsid w:val="00660A83"/>
    <w:rsid w:val="006B62A8"/>
    <w:rsid w:val="007907A9"/>
    <w:rsid w:val="007C678E"/>
    <w:rsid w:val="007D07DA"/>
    <w:rsid w:val="0080065C"/>
    <w:rsid w:val="00816BAE"/>
    <w:rsid w:val="008262A6"/>
    <w:rsid w:val="0083508B"/>
    <w:rsid w:val="00870E16"/>
    <w:rsid w:val="008A09BD"/>
    <w:rsid w:val="008B1360"/>
    <w:rsid w:val="008E5E67"/>
    <w:rsid w:val="00920101"/>
    <w:rsid w:val="0094453B"/>
    <w:rsid w:val="009A2C63"/>
    <w:rsid w:val="009E64DE"/>
    <w:rsid w:val="009F341B"/>
    <w:rsid w:val="00A56859"/>
    <w:rsid w:val="00A5744C"/>
    <w:rsid w:val="00A7062A"/>
    <w:rsid w:val="00A915CD"/>
    <w:rsid w:val="00AB6C49"/>
    <w:rsid w:val="00AD2D3A"/>
    <w:rsid w:val="00B263C4"/>
    <w:rsid w:val="00B46E2D"/>
    <w:rsid w:val="00B83530"/>
    <w:rsid w:val="00BA2DD7"/>
    <w:rsid w:val="00BB2303"/>
    <w:rsid w:val="00C14092"/>
    <w:rsid w:val="00C50C5D"/>
    <w:rsid w:val="00C73BFF"/>
    <w:rsid w:val="00C91D86"/>
    <w:rsid w:val="00CE3A9D"/>
    <w:rsid w:val="00CF6CC9"/>
    <w:rsid w:val="00D2580A"/>
    <w:rsid w:val="00D83B2B"/>
    <w:rsid w:val="00D90617"/>
    <w:rsid w:val="00D963A1"/>
    <w:rsid w:val="00DC6BA3"/>
    <w:rsid w:val="00E13E91"/>
    <w:rsid w:val="00E32CE7"/>
    <w:rsid w:val="00E83033"/>
    <w:rsid w:val="00EE4188"/>
    <w:rsid w:val="00EF70F1"/>
    <w:rsid w:val="00F5345B"/>
    <w:rsid w:val="00FD7560"/>
    <w:rsid w:val="00FE3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2C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0C5D"/>
    <w:pPr>
      <w:ind w:left="720"/>
      <w:contextualSpacing/>
    </w:pPr>
  </w:style>
  <w:style w:type="character" w:styleId="Kommentarzeichen">
    <w:name w:val="annotation reference"/>
    <w:basedOn w:val="Absatz-Standardschriftart"/>
    <w:uiPriority w:val="99"/>
    <w:semiHidden/>
    <w:unhideWhenUsed/>
    <w:rsid w:val="0094453B"/>
    <w:rPr>
      <w:sz w:val="16"/>
      <w:szCs w:val="16"/>
    </w:rPr>
  </w:style>
  <w:style w:type="paragraph" w:styleId="Kommentartext">
    <w:name w:val="annotation text"/>
    <w:basedOn w:val="Standard"/>
    <w:link w:val="KommentartextZchn"/>
    <w:uiPriority w:val="99"/>
    <w:semiHidden/>
    <w:unhideWhenUsed/>
    <w:rsid w:val="009445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453B"/>
    <w:rPr>
      <w:sz w:val="20"/>
      <w:szCs w:val="20"/>
    </w:rPr>
  </w:style>
  <w:style w:type="paragraph" w:styleId="Kommentarthema">
    <w:name w:val="annotation subject"/>
    <w:basedOn w:val="Kommentartext"/>
    <w:next w:val="Kommentartext"/>
    <w:link w:val="KommentarthemaZchn"/>
    <w:uiPriority w:val="99"/>
    <w:semiHidden/>
    <w:unhideWhenUsed/>
    <w:rsid w:val="0094453B"/>
    <w:rPr>
      <w:b/>
      <w:bCs/>
    </w:rPr>
  </w:style>
  <w:style w:type="character" w:customStyle="1" w:styleId="KommentarthemaZchn">
    <w:name w:val="Kommentarthema Zchn"/>
    <w:basedOn w:val="KommentartextZchn"/>
    <w:link w:val="Kommentarthema"/>
    <w:uiPriority w:val="99"/>
    <w:semiHidden/>
    <w:rsid w:val="0094453B"/>
    <w:rPr>
      <w:b/>
      <w:bCs/>
      <w:sz w:val="20"/>
      <w:szCs w:val="20"/>
    </w:rPr>
  </w:style>
  <w:style w:type="paragraph" w:styleId="Funotentext">
    <w:name w:val="footnote text"/>
    <w:basedOn w:val="Standard"/>
    <w:link w:val="FunotentextZchn"/>
    <w:unhideWhenUsed/>
    <w:qFormat/>
    <w:rsid w:val="007C678E"/>
    <w:pPr>
      <w:spacing w:after="0" w:line="240" w:lineRule="auto"/>
    </w:pPr>
    <w:rPr>
      <w:sz w:val="20"/>
      <w:szCs w:val="20"/>
    </w:rPr>
  </w:style>
  <w:style w:type="character" w:customStyle="1" w:styleId="FunotentextZchn">
    <w:name w:val="Fußnotentext Zchn"/>
    <w:basedOn w:val="Absatz-Standardschriftart"/>
    <w:link w:val="Funotentext"/>
    <w:rsid w:val="007C678E"/>
    <w:rPr>
      <w:sz w:val="20"/>
      <w:szCs w:val="20"/>
    </w:rPr>
  </w:style>
  <w:style w:type="character" w:styleId="Funotenzeichen">
    <w:name w:val="footnote reference"/>
    <w:basedOn w:val="Absatz-Standardschriftart"/>
    <w:uiPriority w:val="99"/>
    <w:semiHidden/>
    <w:unhideWhenUsed/>
    <w:rsid w:val="007C6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2C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0C5D"/>
    <w:pPr>
      <w:ind w:left="720"/>
      <w:contextualSpacing/>
    </w:pPr>
  </w:style>
  <w:style w:type="character" w:styleId="Kommentarzeichen">
    <w:name w:val="annotation reference"/>
    <w:basedOn w:val="Absatz-Standardschriftart"/>
    <w:uiPriority w:val="99"/>
    <w:semiHidden/>
    <w:unhideWhenUsed/>
    <w:rsid w:val="0094453B"/>
    <w:rPr>
      <w:sz w:val="16"/>
      <w:szCs w:val="16"/>
    </w:rPr>
  </w:style>
  <w:style w:type="paragraph" w:styleId="Kommentartext">
    <w:name w:val="annotation text"/>
    <w:basedOn w:val="Standard"/>
    <w:link w:val="KommentartextZchn"/>
    <w:uiPriority w:val="99"/>
    <w:semiHidden/>
    <w:unhideWhenUsed/>
    <w:rsid w:val="009445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453B"/>
    <w:rPr>
      <w:sz w:val="20"/>
      <w:szCs w:val="20"/>
    </w:rPr>
  </w:style>
  <w:style w:type="paragraph" w:styleId="Kommentarthema">
    <w:name w:val="annotation subject"/>
    <w:basedOn w:val="Kommentartext"/>
    <w:next w:val="Kommentartext"/>
    <w:link w:val="KommentarthemaZchn"/>
    <w:uiPriority w:val="99"/>
    <w:semiHidden/>
    <w:unhideWhenUsed/>
    <w:rsid w:val="0094453B"/>
    <w:rPr>
      <w:b/>
      <w:bCs/>
    </w:rPr>
  </w:style>
  <w:style w:type="character" w:customStyle="1" w:styleId="KommentarthemaZchn">
    <w:name w:val="Kommentarthema Zchn"/>
    <w:basedOn w:val="KommentartextZchn"/>
    <w:link w:val="Kommentarthema"/>
    <w:uiPriority w:val="99"/>
    <w:semiHidden/>
    <w:rsid w:val="0094453B"/>
    <w:rPr>
      <w:b/>
      <w:bCs/>
      <w:sz w:val="20"/>
      <w:szCs w:val="20"/>
    </w:rPr>
  </w:style>
  <w:style w:type="paragraph" w:styleId="Funotentext">
    <w:name w:val="footnote text"/>
    <w:basedOn w:val="Standard"/>
    <w:link w:val="FunotentextZchn"/>
    <w:unhideWhenUsed/>
    <w:qFormat/>
    <w:rsid w:val="007C678E"/>
    <w:pPr>
      <w:spacing w:after="0" w:line="240" w:lineRule="auto"/>
    </w:pPr>
    <w:rPr>
      <w:sz w:val="20"/>
      <w:szCs w:val="20"/>
    </w:rPr>
  </w:style>
  <w:style w:type="character" w:customStyle="1" w:styleId="FunotentextZchn">
    <w:name w:val="Fußnotentext Zchn"/>
    <w:basedOn w:val="Absatz-Standardschriftart"/>
    <w:link w:val="Funotentext"/>
    <w:rsid w:val="007C678E"/>
    <w:rPr>
      <w:sz w:val="20"/>
      <w:szCs w:val="20"/>
    </w:rPr>
  </w:style>
  <w:style w:type="character" w:styleId="Funotenzeichen">
    <w:name w:val="footnote reference"/>
    <w:basedOn w:val="Absatz-Standardschriftart"/>
    <w:uiPriority w:val="99"/>
    <w:semiHidden/>
    <w:unhideWhenUsed/>
    <w:rsid w:val="007C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F562-0A3E-48D3-9803-1678F4ED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Arbeitsblatt-6.dotx</Template>
  <TotalTime>0</TotalTime>
  <Pages>4</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6</cp:revision>
  <cp:lastPrinted>2017-06-08T06:55:00Z</cp:lastPrinted>
  <dcterms:created xsi:type="dcterms:W3CDTF">2018-05-03T11:32:00Z</dcterms:created>
  <dcterms:modified xsi:type="dcterms:W3CDTF">2018-07-02T12:07:00Z</dcterms:modified>
</cp:coreProperties>
</file>