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8262A6" w:rsidRDefault="00636739" w:rsidP="00FD65CE">
      <w:pPr>
        <w:pStyle w:val="Titel"/>
      </w:pPr>
      <w:r>
        <w:t xml:space="preserve">B2.1 </w:t>
      </w:r>
      <w:bookmarkStart w:id="0" w:name="_GoBack"/>
      <w:bookmarkEnd w:id="0"/>
      <w:r w:rsidR="00320C40">
        <w:t>Besondere Malaufgaben: Quadrataufgaben</w:t>
      </w:r>
    </w:p>
    <w:p w:rsidR="00320C40" w:rsidRDefault="00320C40" w:rsidP="00320C40">
      <w:pPr>
        <w:pStyle w:val="Listenabsatz"/>
        <w:numPr>
          <w:ilvl w:val="0"/>
          <w:numId w:val="1"/>
        </w:numPr>
      </w:pPr>
      <w:r w:rsidRPr="00320C40">
        <w:t xml:space="preserve"> Zeichne und rechne weiter im Heft.</w:t>
      </w:r>
    </w:p>
    <w:p w:rsidR="00320C40" w:rsidRDefault="00320C40" w:rsidP="00320C40">
      <w:pPr>
        <w:pStyle w:val="Listenabsatz"/>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320C40" w:rsidTr="00682BD6">
        <w:trPr>
          <w:cantSplit/>
          <w:trHeight w:hRule="exact" w:val="567"/>
        </w:trPr>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rsidR="00320C40" w:rsidRPr="0053047F" w:rsidRDefault="00320C40" w:rsidP="00682BD6">
            <w:pPr>
              <w:jc w:val="center"/>
              <w:rPr>
                <w:b/>
                <w:szCs w:val="24"/>
              </w:rPr>
            </w:pPr>
            <w:r w:rsidRPr="0053047F">
              <w:rPr>
                <w:b/>
                <w:szCs w:val="24"/>
              </w:rPr>
              <w:t>°</w:t>
            </w:r>
          </w:p>
        </w:tc>
        <w:tc>
          <w:tcPr>
            <w:tcW w:w="567" w:type="dxa"/>
            <w:tcBorders>
              <w:left w:val="single" w:sz="18" w:space="0" w:color="auto"/>
            </w:tcBorders>
            <w:shd w:val="clear" w:color="auto" w:fill="auto"/>
            <w:vAlign w:val="center"/>
          </w:tcPr>
          <w:p w:rsidR="00320C40" w:rsidRDefault="00320C40" w:rsidP="00682BD6">
            <w:pPr>
              <w:jc w:val="center"/>
            </w:pPr>
          </w:p>
        </w:tc>
        <w:tc>
          <w:tcPr>
            <w:tcW w:w="567" w:type="dxa"/>
            <w:tcBorders>
              <w:right w:val="single" w:sz="2" w:space="0" w:color="auto"/>
            </w:tcBorders>
            <w:shd w:val="clear" w:color="auto" w:fill="auto"/>
            <w:vAlign w:val="center"/>
          </w:tcPr>
          <w:p w:rsidR="00320C40" w:rsidRDefault="00320C40" w:rsidP="00682BD6">
            <w:pPr>
              <w:jc w:val="center"/>
            </w:pPr>
          </w:p>
        </w:tc>
        <w:tc>
          <w:tcPr>
            <w:tcW w:w="567" w:type="dxa"/>
            <w:tcBorders>
              <w:left w:val="single" w:sz="2" w:space="0" w:color="auto"/>
            </w:tcBorders>
            <w:shd w:val="clear" w:color="auto" w:fill="auto"/>
          </w:tcPr>
          <w:p w:rsidR="00320C40" w:rsidRDefault="00320C40" w:rsidP="00682BD6"/>
        </w:tc>
        <w:tc>
          <w:tcPr>
            <w:tcW w:w="567" w:type="dxa"/>
            <w:tcBorders>
              <w:right w:val="single" w:sz="18" w:space="0" w:color="auto"/>
            </w:tcBorders>
            <w:shd w:val="clear" w:color="auto" w:fill="auto"/>
          </w:tcPr>
          <w:p w:rsidR="00320C40" w:rsidRDefault="00320C40" w:rsidP="00682BD6"/>
        </w:tc>
        <w:tc>
          <w:tcPr>
            <w:tcW w:w="567" w:type="dxa"/>
            <w:tcBorders>
              <w:top w:val="single" w:sz="18" w:space="0" w:color="auto"/>
              <w:left w:val="single" w:sz="18" w:space="0" w:color="auto"/>
            </w:tcBorders>
            <w:shd w:val="clear" w:color="auto" w:fill="auto"/>
            <w:vAlign w:val="center"/>
          </w:tcPr>
          <w:p w:rsidR="00320C40" w:rsidRDefault="00FD65CE" w:rsidP="00682BD6">
            <w:r>
              <w:t xml:space="preserve">  </w:t>
            </w:r>
            <w:r w:rsidR="00320C40">
              <w:t>°</w:t>
            </w:r>
          </w:p>
        </w:tc>
        <w:tc>
          <w:tcPr>
            <w:tcW w:w="567" w:type="dxa"/>
            <w:tcBorders>
              <w:top w:val="single" w:sz="18" w:space="0" w:color="auto"/>
              <w:right w:val="single" w:sz="18" w:space="0" w:color="auto"/>
            </w:tcBorders>
            <w:shd w:val="clear" w:color="auto" w:fill="auto"/>
            <w:vAlign w:val="center"/>
          </w:tcPr>
          <w:p w:rsidR="00320C40" w:rsidRDefault="00320C40" w:rsidP="00682BD6">
            <w:pPr>
              <w:jc w:val="center"/>
            </w:pPr>
            <w:r>
              <w:t>°</w:t>
            </w:r>
          </w:p>
        </w:tc>
        <w:tc>
          <w:tcPr>
            <w:tcW w:w="567" w:type="dxa"/>
            <w:tcBorders>
              <w:left w:val="single" w:sz="18" w:space="0" w:color="auto"/>
            </w:tcBorders>
            <w:shd w:val="clear" w:color="auto" w:fill="auto"/>
            <w:vAlign w:val="center"/>
          </w:tcPr>
          <w:p w:rsidR="00320C40" w:rsidRDefault="00320C40" w:rsidP="00682BD6">
            <w:pPr>
              <w:jc w:val="center"/>
            </w:pPr>
          </w:p>
        </w:tc>
        <w:tc>
          <w:tcPr>
            <w:tcW w:w="567" w:type="dxa"/>
            <w:shd w:val="clear" w:color="auto" w:fill="auto"/>
          </w:tcPr>
          <w:p w:rsidR="00320C40" w:rsidRDefault="00320C40" w:rsidP="00682BD6">
            <w:pPr>
              <w:jc w:val="center"/>
            </w:pPr>
          </w:p>
        </w:tc>
        <w:tc>
          <w:tcPr>
            <w:tcW w:w="567" w:type="dxa"/>
            <w:tcBorders>
              <w:right w:val="single" w:sz="2" w:space="0" w:color="auto"/>
            </w:tcBorders>
            <w:shd w:val="clear" w:color="auto" w:fill="auto"/>
            <w:vAlign w:val="center"/>
          </w:tcPr>
          <w:p w:rsidR="00320C40" w:rsidRDefault="00320C40" w:rsidP="00682BD6">
            <w:pPr>
              <w:jc w:val="center"/>
            </w:pPr>
          </w:p>
        </w:tc>
        <w:tc>
          <w:tcPr>
            <w:tcW w:w="567" w:type="dxa"/>
            <w:tcBorders>
              <w:left w:val="single" w:sz="2" w:space="0" w:color="auto"/>
              <w:right w:val="single" w:sz="18" w:space="0" w:color="auto"/>
            </w:tcBorders>
            <w:shd w:val="clear" w:color="auto" w:fill="auto"/>
          </w:tcPr>
          <w:p w:rsidR="00320C40" w:rsidRDefault="00320C40" w:rsidP="00682BD6">
            <w:pPr>
              <w:jc w:val="center"/>
            </w:pPr>
          </w:p>
        </w:tc>
        <w:tc>
          <w:tcPr>
            <w:tcW w:w="567" w:type="dxa"/>
            <w:tcBorders>
              <w:top w:val="single" w:sz="18" w:space="0" w:color="auto"/>
              <w:left w:val="single" w:sz="18" w:space="0" w:color="auto"/>
            </w:tcBorders>
            <w:shd w:val="clear" w:color="auto" w:fill="auto"/>
            <w:vAlign w:val="center"/>
          </w:tcPr>
          <w:p w:rsidR="00320C40" w:rsidRDefault="00320C40" w:rsidP="00682BD6">
            <w:pPr>
              <w:jc w:val="center"/>
            </w:pPr>
            <w:r>
              <w:t>°</w:t>
            </w:r>
          </w:p>
        </w:tc>
        <w:tc>
          <w:tcPr>
            <w:tcW w:w="567" w:type="dxa"/>
            <w:tcBorders>
              <w:top w:val="single" w:sz="18" w:space="0" w:color="auto"/>
            </w:tcBorders>
            <w:shd w:val="clear" w:color="auto" w:fill="auto"/>
            <w:vAlign w:val="center"/>
          </w:tcPr>
          <w:p w:rsidR="00320C40" w:rsidRDefault="00320C40" w:rsidP="00682BD6">
            <w:pPr>
              <w:jc w:val="center"/>
            </w:pPr>
            <w:r>
              <w:t>°</w:t>
            </w:r>
          </w:p>
        </w:tc>
        <w:tc>
          <w:tcPr>
            <w:tcW w:w="567" w:type="dxa"/>
            <w:tcBorders>
              <w:top w:val="single" w:sz="18" w:space="0" w:color="auto"/>
              <w:right w:val="single" w:sz="18" w:space="0" w:color="auto"/>
            </w:tcBorders>
            <w:shd w:val="clear" w:color="auto" w:fill="auto"/>
            <w:vAlign w:val="center"/>
          </w:tcPr>
          <w:p w:rsidR="00320C40" w:rsidRDefault="00320C40" w:rsidP="00682BD6">
            <w:pPr>
              <w:jc w:val="center"/>
            </w:pPr>
            <w:r>
              <w:t>°</w:t>
            </w:r>
          </w:p>
        </w:tc>
      </w:tr>
      <w:tr w:rsidR="00320C40" w:rsidTr="00682BD6">
        <w:trPr>
          <w:cantSplit/>
          <w:trHeight w:hRule="exact" w:val="567"/>
        </w:trPr>
        <w:tc>
          <w:tcPr>
            <w:tcW w:w="567" w:type="dxa"/>
            <w:tcBorders>
              <w:top w:val="single" w:sz="18" w:space="0" w:color="auto"/>
              <w:bottom w:val="single" w:sz="2" w:space="0" w:color="auto"/>
            </w:tcBorders>
            <w:shd w:val="clear" w:color="auto" w:fill="auto"/>
            <w:vAlign w:val="center"/>
          </w:tcPr>
          <w:p w:rsidR="00320C40" w:rsidRPr="0053047F" w:rsidRDefault="00320C40" w:rsidP="00682BD6">
            <w:pPr>
              <w:jc w:val="center"/>
              <w:rPr>
                <w:b/>
              </w:rPr>
            </w:pPr>
          </w:p>
        </w:tc>
        <w:tc>
          <w:tcPr>
            <w:tcW w:w="567" w:type="dxa"/>
            <w:tcBorders>
              <w:bottom w:val="single" w:sz="2" w:space="0" w:color="auto"/>
            </w:tcBorders>
            <w:shd w:val="clear" w:color="auto" w:fill="auto"/>
            <w:vAlign w:val="center"/>
          </w:tcPr>
          <w:p w:rsidR="00320C40" w:rsidRDefault="00320C40" w:rsidP="00682BD6">
            <w:pPr>
              <w:jc w:val="center"/>
            </w:pPr>
          </w:p>
        </w:tc>
        <w:tc>
          <w:tcPr>
            <w:tcW w:w="567" w:type="dxa"/>
            <w:tcBorders>
              <w:bottom w:val="single" w:sz="2" w:space="0" w:color="auto"/>
              <w:right w:val="single" w:sz="2" w:space="0" w:color="auto"/>
            </w:tcBorders>
            <w:shd w:val="clear" w:color="auto" w:fill="auto"/>
            <w:vAlign w:val="center"/>
          </w:tcPr>
          <w:p w:rsidR="00320C40" w:rsidRDefault="00320C40" w:rsidP="00682BD6">
            <w:pPr>
              <w:jc w:val="center"/>
            </w:pPr>
          </w:p>
        </w:tc>
        <w:tc>
          <w:tcPr>
            <w:tcW w:w="567" w:type="dxa"/>
            <w:tcBorders>
              <w:left w:val="single" w:sz="2" w:space="0" w:color="auto"/>
              <w:bottom w:val="single" w:sz="2" w:space="0" w:color="auto"/>
            </w:tcBorders>
            <w:shd w:val="clear" w:color="auto" w:fill="auto"/>
          </w:tcPr>
          <w:p w:rsidR="00320C40" w:rsidRDefault="00320C40" w:rsidP="00682BD6">
            <w:pPr>
              <w:jc w:val="center"/>
            </w:pPr>
          </w:p>
        </w:tc>
        <w:tc>
          <w:tcPr>
            <w:tcW w:w="567" w:type="dxa"/>
            <w:tcBorders>
              <w:bottom w:val="single" w:sz="2" w:space="0" w:color="auto"/>
              <w:right w:val="single" w:sz="18" w:space="0" w:color="auto"/>
            </w:tcBorders>
            <w:shd w:val="clear" w:color="auto" w:fill="auto"/>
          </w:tcPr>
          <w:p w:rsidR="00320C40" w:rsidRDefault="00320C40" w:rsidP="00682BD6">
            <w:pPr>
              <w:jc w:val="center"/>
            </w:pPr>
          </w:p>
        </w:tc>
        <w:tc>
          <w:tcPr>
            <w:tcW w:w="567" w:type="dxa"/>
            <w:tcBorders>
              <w:left w:val="single" w:sz="18" w:space="0" w:color="auto"/>
              <w:bottom w:val="single" w:sz="18" w:space="0" w:color="auto"/>
            </w:tcBorders>
            <w:shd w:val="clear" w:color="auto" w:fill="auto"/>
            <w:vAlign w:val="center"/>
          </w:tcPr>
          <w:p w:rsidR="00320C40" w:rsidRDefault="00320C40" w:rsidP="00682BD6">
            <w:pPr>
              <w:jc w:val="center"/>
            </w:pPr>
            <w:r>
              <w:t>°</w:t>
            </w:r>
          </w:p>
        </w:tc>
        <w:tc>
          <w:tcPr>
            <w:tcW w:w="567" w:type="dxa"/>
            <w:tcBorders>
              <w:bottom w:val="single" w:sz="18" w:space="0" w:color="auto"/>
              <w:right w:val="single" w:sz="18" w:space="0" w:color="auto"/>
            </w:tcBorders>
            <w:shd w:val="clear" w:color="auto" w:fill="auto"/>
            <w:vAlign w:val="center"/>
          </w:tcPr>
          <w:p w:rsidR="00320C40" w:rsidRDefault="00320C40" w:rsidP="00682BD6">
            <w:pPr>
              <w:jc w:val="center"/>
            </w:pPr>
            <w:r>
              <w:t>°</w:t>
            </w:r>
          </w:p>
        </w:tc>
        <w:tc>
          <w:tcPr>
            <w:tcW w:w="567" w:type="dxa"/>
            <w:tcBorders>
              <w:left w:val="single" w:sz="18" w:space="0" w:color="auto"/>
              <w:bottom w:val="single" w:sz="2" w:space="0" w:color="auto"/>
            </w:tcBorders>
            <w:shd w:val="clear" w:color="auto" w:fill="auto"/>
            <w:vAlign w:val="center"/>
          </w:tcPr>
          <w:p w:rsidR="00320C40" w:rsidRDefault="00320C40" w:rsidP="00682BD6">
            <w:pPr>
              <w:jc w:val="center"/>
            </w:pPr>
          </w:p>
        </w:tc>
        <w:tc>
          <w:tcPr>
            <w:tcW w:w="567" w:type="dxa"/>
            <w:tcBorders>
              <w:bottom w:val="single" w:sz="2" w:space="0" w:color="auto"/>
            </w:tcBorders>
            <w:shd w:val="clear" w:color="auto" w:fill="auto"/>
          </w:tcPr>
          <w:p w:rsidR="00320C40" w:rsidRDefault="00320C40" w:rsidP="00682BD6">
            <w:pPr>
              <w:jc w:val="center"/>
            </w:pPr>
          </w:p>
        </w:tc>
        <w:tc>
          <w:tcPr>
            <w:tcW w:w="567" w:type="dxa"/>
            <w:tcBorders>
              <w:bottom w:val="single" w:sz="2" w:space="0" w:color="auto"/>
              <w:right w:val="single" w:sz="2" w:space="0" w:color="auto"/>
            </w:tcBorders>
            <w:shd w:val="clear" w:color="auto" w:fill="auto"/>
            <w:vAlign w:val="center"/>
          </w:tcPr>
          <w:p w:rsidR="00320C40" w:rsidRDefault="00320C40" w:rsidP="00682BD6">
            <w:pPr>
              <w:jc w:val="center"/>
            </w:pPr>
          </w:p>
        </w:tc>
        <w:tc>
          <w:tcPr>
            <w:tcW w:w="567" w:type="dxa"/>
            <w:tcBorders>
              <w:left w:val="single" w:sz="2" w:space="0" w:color="auto"/>
              <w:bottom w:val="single" w:sz="2" w:space="0" w:color="auto"/>
              <w:right w:val="single" w:sz="18" w:space="0" w:color="auto"/>
            </w:tcBorders>
            <w:shd w:val="clear" w:color="auto" w:fill="auto"/>
          </w:tcPr>
          <w:p w:rsidR="00320C40" w:rsidRDefault="00320C40" w:rsidP="00682BD6">
            <w:pPr>
              <w:jc w:val="center"/>
            </w:pPr>
          </w:p>
        </w:tc>
        <w:tc>
          <w:tcPr>
            <w:tcW w:w="567" w:type="dxa"/>
            <w:tcBorders>
              <w:left w:val="single" w:sz="18" w:space="0" w:color="auto"/>
              <w:bottom w:val="single" w:sz="2" w:space="0" w:color="auto"/>
            </w:tcBorders>
            <w:shd w:val="clear" w:color="auto" w:fill="auto"/>
            <w:vAlign w:val="center"/>
          </w:tcPr>
          <w:p w:rsidR="00320C40" w:rsidRDefault="00320C40" w:rsidP="00682BD6">
            <w:pPr>
              <w:jc w:val="center"/>
            </w:pPr>
            <w:r>
              <w:t>°</w:t>
            </w:r>
          </w:p>
        </w:tc>
        <w:tc>
          <w:tcPr>
            <w:tcW w:w="567" w:type="dxa"/>
            <w:tcBorders>
              <w:bottom w:val="single" w:sz="2" w:space="0" w:color="auto"/>
            </w:tcBorders>
            <w:shd w:val="clear" w:color="auto" w:fill="auto"/>
            <w:vAlign w:val="center"/>
          </w:tcPr>
          <w:p w:rsidR="00320C40" w:rsidRDefault="00320C40" w:rsidP="00682BD6">
            <w:pPr>
              <w:jc w:val="center"/>
            </w:pPr>
            <w:r>
              <w:t>°</w:t>
            </w:r>
          </w:p>
        </w:tc>
        <w:tc>
          <w:tcPr>
            <w:tcW w:w="567" w:type="dxa"/>
            <w:tcBorders>
              <w:bottom w:val="single" w:sz="2" w:space="0" w:color="auto"/>
              <w:right w:val="single" w:sz="18" w:space="0" w:color="auto"/>
            </w:tcBorders>
            <w:shd w:val="clear" w:color="auto" w:fill="auto"/>
            <w:vAlign w:val="center"/>
          </w:tcPr>
          <w:p w:rsidR="00320C40" w:rsidRDefault="00320C40" w:rsidP="00682BD6">
            <w:pPr>
              <w:jc w:val="center"/>
            </w:pPr>
            <w:r>
              <w:t>°</w:t>
            </w:r>
          </w:p>
        </w:tc>
      </w:tr>
      <w:tr w:rsidR="00320C40" w:rsidTr="00682BD6">
        <w:trPr>
          <w:cantSplit/>
          <w:trHeight w:hRule="exact" w:val="567"/>
        </w:trPr>
        <w:tc>
          <w:tcPr>
            <w:tcW w:w="567" w:type="dxa"/>
            <w:tcBorders>
              <w:top w:val="single" w:sz="2" w:space="0" w:color="auto"/>
            </w:tcBorders>
            <w:shd w:val="clear" w:color="auto" w:fill="auto"/>
            <w:vAlign w:val="center"/>
          </w:tcPr>
          <w:p w:rsidR="00320C40" w:rsidRDefault="00320C40" w:rsidP="00682BD6">
            <w:pPr>
              <w:jc w:val="center"/>
            </w:pPr>
          </w:p>
        </w:tc>
        <w:tc>
          <w:tcPr>
            <w:tcW w:w="567" w:type="dxa"/>
            <w:tcBorders>
              <w:top w:val="single" w:sz="2" w:space="0" w:color="auto"/>
            </w:tcBorders>
            <w:shd w:val="clear" w:color="auto" w:fill="auto"/>
            <w:vAlign w:val="center"/>
          </w:tcPr>
          <w:p w:rsidR="00320C40" w:rsidRDefault="00320C40" w:rsidP="00682BD6">
            <w:pPr>
              <w:jc w:val="center"/>
            </w:pPr>
          </w:p>
        </w:tc>
        <w:tc>
          <w:tcPr>
            <w:tcW w:w="567" w:type="dxa"/>
            <w:tcBorders>
              <w:top w:val="single" w:sz="2" w:space="0" w:color="auto"/>
              <w:right w:val="single" w:sz="2" w:space="0" w:color="auto"/>
            </w:tcBorders>
            <w:shd w:val="clear" w:color="auto" w:fill="auto"/>
            <w:vAlign w:val="center"/>
          </w:tcPr>
          <w:p w:rsidR="00320C40" w:rsidRDefault="00320C40" w:rsidP="00682BD6">
            <w:pPr>
              <w:jc w:val="center"/>
            </w:pPr>
          </w:p>
        </w:tc>
        <w:tc>
          <w:tcPr>
            <w:tcW w:w="567" w:type="dxa"/>
            <w:tcBorders>
              <w:top w:val="single" w:sz="2" w:space="0" w:color="auto"/>
              <w:left w:val="single" w:sz="2" w:space="0" w:color="auto"/>
            </w:tcBorders>
            <w:shd w:val="clear" w:color="auto" w:fill="auto"/>
          </w:tcPr>
          <w:p w:rsidR="00320C40" w:rsidRDefault="00320C40" w:rsidP="00682BD6">
            <w:pPr>
              <w:jc w:val="center"/>
            </w:pPr>
          </w:p>
        </w:tc>
        <w:tc>
          <w:tcPr>
            <w:tcW w:w="567" w:type="dxa"/>
            <w:tcBorders>
              <w:top w:val="single" w:sz="2" w:space="0" w:color="auto"/>
            </w:tcBorders>
            <w:shd w:val="clear" w:color="auto" w:fill="auto"/>
          </w:tcPr>
          <w:p w:rsidR="00320C40" w:rsidRDefault="00320C40" w:rsidP="00682BD6">
            <w:pPr>
              <w:jc w:val="center"/>
            </w:pPr>
          </w:p>
        </w:tc>
        <w:tc>
          <w:tcPr>
            <w:tcW w:w="567" w:type="dxa"/>
            <w:tcBorders>
              <w:top w:val="single" w:sz="18" w:space="0" w:color="auto"/>
            </w:tcBorders>
            <w:shd w:val="clear" w:color="auto" w:fill="auto"/>
            <w:vAlign w:val="center"/>
          </w:tcPr>
          <w:p w:rsidR="00320C40" w:rsidRDefault="00320C40" w:rsidP="00682BD6">
            <w:pPr>
              <w:jc w:val="center"/>
            </w:pPr>
          </w:p>
        </w:tc>
        <w:tc>
          <w:tcPr>
            <w:tcW w:w="567" w:type="dxa"/>
            <w:tcBorders>
              <w:top w:val="single" w:sz="18" w:space="0" w:color="auto"/>
              <w:right w:val="single" w:sz="2" w:space="0" w:color="auto"/>
            </w:tcBorders>
            <w:shd w:val="clear" w:color="auto" w:fill="auto"/>
            <w:vAlign w:val="center"/>
          </w:tcPr>
          <w:p w:rsidR="00320C40" w:rsidRDefault="00320C40" w:rsidP="00682BD6">
            <w:pPr>
              <w:jc w:val="center"/>
            </w:pPr>
          </w:p>
        </w:tc>
        <w:tc>
          <w:tcPr>
            <w:tcW w:w="567" w:type="dxa"/>
            <w:tcBorders>
              <w:top w:val="single" w:sz="2" w:space="0" w:color="auto"/>
              <w:left w:val="single" w:sz="2" w:space="0" w:color="auto"/>
            </w:tcBorders>
            <w:shd w:val="clear" w:color="auto" w:fill="auto"/>
            <w:vAlign w:val="center"/>
          </w:tcPr>
          <w:p w:rsidR="00320C40" w:rsidRDefault="00320C40" w:rsidP="00682BD6">
            <w:pPr>
              <w:jc w:val="center"/>
            </w:pPr>
          </w:p>
        </w:tc>
        <w:tc>
          <w:tcPr>
            <w:tcW w:w="567" w:type="dxa"/>
            <w:tcBorders>
              <w:top w:val="single" w:sz="2" w:space="0" w:color="auto"/>
            </w:tcBorders>
            <w:shd w:val="clear" w:color="auto" w:fill="auto"/>
          </w:tcPr>
          <w:p w:rsidR="00320C40" w:rsidRDefault="00320C40" w:rsidP="00682BD6">
            <w:pPr>
              <w:jc w:val="center"/>
            </w:pPr>
          </w:p>
        </w:tc>
        <w:tc>
          <w:tcPr>
            <w:tcW w:w="567" w:type="dxa"/>
            <w:tcBorders>
              <w:top w:val="single" w:sz="2" w:space="0" w:color="auto"/>
              <w:right w:val="single" w:sz="2" w:space="0" w:color="auto"/>
            </w:tcBorders>
            <w:shd w:val="clear" w:color="auto" w:fill="auto"/>
            <w:vAlign w:val="center"/>
          </w:tcPr>
          <w:p w:rsidR="00320C40" w:rsidRDefault="00320C40" w:rsidP="00682BD6">
            <w:pPr>
              <w:jc w:val="center"/>
            </w:pPr>
          </w:p>
        </w:tc>
        <w:tc>
          <w:tcPr>
            <w:tcW w:w="567" w:type="dxa"/>
            <w:tcBorders>
              <w:top w:val="single" w:sz="2" w:space="0" w:color="auto"/>
              <w:left w:val="single" w:sz="2" w:space="0" w:color="auto"/>
              <w:right w:val="single" w:sz="18" w:space="0" w:color="auto"/>
            </w:tcBorders>
            <w:shd w:val="clear" w:color="auto" w:fill="auto"/>
          </w:tcPr>
          <w:p w:rsidR="00320C40" w:rsidRDefault="00320C40" w:rsidP="00682BD6">
            <w:pPr>
              <w:jc w:val="center"/>
            </w:pPr>
          </w:p>
        </w:tc>
        <w:tc>
          <w:tcPr>
            <w:tcW w:w="567" w:type="dxa"/>
            <w:tcBorders>
              <w:top w:val="single" w:sz="2" w:space="0" w:color="auto"/>
              <w:left w:val="single" w:sz="18" w:space="0" w:color="auto"/>
              <w:bottom w:val="single" w:sz="18" w:space="0" w:color="auto"/>
            </w:tcBorders>
            <w:shd w:val="clear" w:color="auto" w:fill="auto"/>
            <w:vAlign w:val="center"/>
          </w:tcPr>
          <w:p w:rsidR="00320C40" w:rsidRDefault="00320C40" w:rsidP="00682BD6">
            <w:pPr>
              <w:jc w:val="center"/>
            </w:pPr>
            <w:r>
              <w:t>°</w:t>
            </w:r>
          </w:p>
        </w:tc>
        <w:tc>
          <w:tcPr>
            <w:tcW w:w="567" w:type="dxa"/>
            <w:tcBorders>
              <w:top w:val="single" w:sz="2" w:space="0" w:color="auto"/>
              <w:bottom w:val="single" w:sz="18" w:space="0" w:color="auto"/>
              <w:right w:val="single" w:sz="2" w:space="0" w:color="auto"/>
            </w:tcBorders>
            <w:shd w:val="clear" w:color="auto" w:fill="auto"/>
            <w:vAlign w:val="center"/>
          </w:tcPr>
          <w:p w:rsidR="00320C40" w:rsidRDefault="00320C40" w:rsidP="00682BD6">
            <w:pPr>
              <w:jc w:val="center"/>
            </w:pPr>
            <w:r>
              <w:t>°</w:t>
            </w:r>
          </w:p>
        </w:tc>
        <w:tc>
          <w:tcPr>
            <w:tcW w:w="567" w:type="dxa"/>
            <w:tcBorders>
              <w:top w:val="single" w:sz="2" w:space="0" w:color="auto"/>
              <w:left w:val="single" w:sz="2" w:space="0" w:color="auto"/>
              <w:bottom w:val="single" w:sz="18" w:space="0" w:color="auto"/>
              <w:right w:val="single" w:sz="18" w:space="0" w:color="auto"/>
            </w:tcBorders>
            <w:shd w:val="clear" w:color="auto" w:fill="auto"/>
            <w:vAlign w:val="center"/>
          </w:tcPr>
          <w:p w:rsidR="00320C40" w:rsidRDefault="00320C40" w:rsidP="00682BD6">
            <w:pPr>
              <w:jc w:val="center"/>
            </w:pPr>
            <w:r>
              <w:t>°</w:t>
            </w:r>
          </w:p>
        </w:tc>
      </w:tr>
      <w:tr w:rsidR="00320C40" w:rsidTr="00682BD6">
        <w:trPr>
          <w:cantSplit/>
          <w:trHeight w:hRule="exact" w:val="567"/>
        </w:trPr>
        <w:tc>
          <w:tcPr>
            <w:tcW w:w="567" w:type="dxa"/>
            <w:shd w:val="clear" w:color="auto" w:fill="auto"/>
            <w:vAlign w:val="center"/>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tcPr>
          <w:p w:rsidR="00320C40" w:rsidRDefault="00320C40" w:rsidP="00682BD6">
            <w:pPr>
              <w:jc w:val="center"/>
            </w:pPr>
          </w:p>
        </w:tc>
        <w:tc>
          <w:tcPr>
            <w:tcW w:w="567" w:type="dxa"/>
            <w:shd w:val="clear" w:color="auto" w:fill="auto"/>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tcBorders>
              <w:right w:val="single" w:sz="2" w:space="0" w:color="auto"/>
            </w:tcBorders>
            <w:shd w:val="clear" w:color="auto" w:fill="auto"/>
            <w:vAlign w:val="center"/>
          </w:tcPr>
          <w:p w:rsidR="00320C40" w:rsidRDefault="00320C40" w:rsidP="00682BD6">
            <w:pPr>
              <w:jc w:val="center"/>
            </w:pPr>
          </w:p>
        </w:tc>
        <w:tc>
          <w:tcPr>
            <w:tcW w:w="567" w:type="dxa"/>
            <w:tcBorders>
              <w:left w:val="single" w:sz="2" w:space="0" w:color="auto"/>
              <w:bottom w:val="single" w:sz="2" w:space="0" w:color="auto"/>
            </w:tcBorders>
            <w:shd w:val="clear" w:color="auto" w:fill="auto"/>
            <w:vAlign w:val="center"/>
          </w:tcPr>
          <w:p w:rsidR="00320C40" w:rsidRDefault="00320C40" w:rsidP="00682BD6">
            <w:pPr>
              <w:jc w:val="center"/>
            </w:pPr>
          </w:p>
        </w:tc>
        <w:tc>
          <w:tcPr>
            <w:tcW w:w="567" w:type="dxa"/>
            <w:shd w:val="clear" w:color="auto" w:fill="auto"/>
          </w:tcPr>
          <w:p w:rsidR="00320C40" w:rsidRDefault="00320C40" w:rsidP="00682BD6">
            <w:pPr>
              <w:jc w:val="center"/>
            </w:pPr>
          </w:p>
        </w:tc>
        <w:tc>
          <w:tcPr>
            <w:tcW w:w="567" w:type="dxa"/>
            <w:tcBorders>
              <w:right w:val="single" w:sz="2" w:space="0" w:color="auto"/>
            </w:tcBorders>
            <w:shd w:val="clear" w:color="auto" w:fill="auto"/>
            <w:vAlign w:val="center"/>
          </w:tcPr>
          <w:p w:rsidR="00320C40" w:rsidRDefault="00320C40" w:rsidP="00682BD6">
            <w:pPr>
              <w:jc w:val="center"/>
            </w:pPr>
          </w:p>
        </w:tc>
        <w:tc>
          <w:tcPr>
            <w:tcW w:w="567" w:type="dxa"/>
            <w:tcBorders>
              <w:right w:val="single" w:sz="2" w:space="0" w:color="auto"/>
            </w:tcBorders>
            <w:shd w:val="clear" w:color="auto" w:fill="auto"/>
          </w:tcPr>
          <w:p w:rsidR="00320C40" w:rsidRDefault="00320C40" w:rsidP="00682BD6">
            <w:pPr>
              <w:jc w:val="center"/>
            </w:pPr>
          </w:p>
        </w:tc>
        <w:tc>
          <w:tcPr>
            <w:tcW w:w="567" w:type="dxa"/>
            <w:tcBorders>
              <w:top w:val="single" w:sz="18" w:space="0" w:color="auto"/>
              <w:left w:val="single" w:sz="2" w:space="0" w:color="auto"/>
            </w:tcBorders>
            <w:shd w:val="clear" w:color="auto" w:fill="auto"/>
            <w:vAlign w:val="center"/>
          </w:tcPr>
          <w:p w:rsidR="00320C40" w:rsidRDefault="00320C40" w:rsidP="00682BD6">
            <w:pPr>
              <w:jc w:val="center"/>
            </w:pPr>
          </w:p>
        </w:tc>
        <w:tc>
          <w:tcPr>
            <w:tcW w:w="567" w:type="dxa"/>
            <w:tcBorders>
              <w:top w:val="single" w:sz="18" w:space="0" w:color="auto"/>
            </w:tcBorders>
            <w:shd w:val="clear" w:color="auto" w:fill="auto"/>
            <w:vAlign w:val="center"/>
          </w:tcPr>
          <w:p w:rsidR="00320C40" w:rsidRDefault="00320C40" w:rsidP="00682BD6">
            <w:pPr>
              <w:jc w:val="center"/>
            </w:pPr>
          </w:p>
        </w:tc>
        <w:tc>
          <w:tcPr>
            <w:tcW w:w="567" w:type="dxa"/>
            <w:tcBorders>
              <w:top w:val="single" w:sz="18" w:space="0" w:color="auto"/>
            </w:tcBorders>
            <w:shd w:val="clear" w:color="auto" w:fill="auto"/>
            <w:vAlign w:val="center"/>
          </w:tcPr>
          <w:p w:rsidR="00320C40" w:rsidRDefault="00320C40" w:rsidP="00682BD6">
            <w:pPr>
              <w:jc w:val="center"/>
            </w:pPr>
          </w:p>
        </w:tc>
      </w:tr>
      <w:tr w:rsidR="00320C40" w:rsidTr="00682BD6">
        <w:trPr>
          <w:cantSplit/>
          <w:trHeight w:hRule="exact" w:val="567"/>
        </w:trPr>
        <w:tc>
          <w:tcPr>
            <w:tcW w:w="567" w:type="dxa"/>
            <w:shd w:val="clear" w:color="auto" w:fill="auto"/>
            <w:vAlign w:val="center"/>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tcPr>
          <w:p w:rsidR="00320C40" w:rsidRDefault="00320C40" w:rsidP="00682BD6">
            <w:pPr>
              <w:jc w:val="center"/>
            </w:pPr>
          </w:p>
        </w:tc>
        <w:tc>
          <w:tcPr>
            <w:tcW w:w="567" w:type="dxa"/>
            <w:shd w:val="clear" w:color="auto" w:fill="auto"/>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vAlign w:val="center"/>
          </w:tcPr>
          <w:p w:rsidR="00320C40" w:rsidRDefault="00320C40" w:rsidP="00682BD6">
            <w:pPr>
              <w:jc w:val="center"/>
            </w:pPr>
          </w:p>
        </w:tc>
        <w:tc>
          <w:tcPr>
            <w:tcW w:w="567" w:type="dxa"/>
            <w:shd w:val="clear" w:color="auto" w:fill="auto"/>
            <w:vAlign w:val="center"/>
          </w:tcPr>
          <w:p w:rsidR="00320C40" w:rsidRDefault="00320C40" w:rsidP="00682BD6">
            <w:pPr>
              <w:jc w:val="center"/>
            </w:pPr>
          </w:p>
        </w:tc>
      </w:tr>
    </w:tbl>
    <w:p w:rsidR="00320C40" w:rsidRDefault="00320C40" w:rsidP="00320C40"/>
    <w:p w:rsidR="00320C40" w:rsidRDefault="00320C40" w:rsidP="00320C40">
      <w:r>
        <w:t>1∙1=_____</w:t>
      </w:r>
      <w:r>
        <w:tab/>
        <w:t>2∙2=______</w:t>
      </w:r>
      <w:r>
        <w:tab/>
      </w:r>
      <w:r>
        <w:tab/>
        <w:t>3∙3=________</w:t>
      </w:r>
    </w:p>
    <w:p w:rsidR="00320C40" w:rsidRDefault="00320C40" w:rsidP="00320C40"/>
    <w:p w:rsidR="00320C40" w:rsidRDefault="00FD65CE" w:rsidP="00FD65CE">
      <w:pPr>
        <w:pStyle w:val="Listenabsatz"/>
        <w:numPr>
          <w:ilvl w:val="0"/>
          <w:numId w:val="1"/>
        </w:numPr>
        <w:spacing w:after="0" w:line="240" w:lineRule="auto"/>
      </w:pPr>
      <w:r>
        <w:tab/>
      </w:r>
      <w:r w:rsidR="00320C40">
        <w:t>Zeige am Hunderterfeld Quadrataufgaben</w:t>
      </w:r>
      <w:r w:rsidR="003239CD">
        <w:t>.</w:t>
      </w:r>
      <w:r w:rsidR="00320C40">
        <w:t xml:space="preserve"> </w:t>
      </w:r>
      <w:r w:rsidR="003239CD">
        <w:t>S</w:t>
      </w:r>
      <w:r w:rsidR="00320C40">
        <w:t>chreibe sie i</w:t>
      </w:r>
      <w:r w:rsidR="003239CD">
        <w:t>n dein</w:t>
      </w:r>
      <w:r w:rsidR="00320C40">
        <w:t xml:space="preserve"> Heft und rechne sie.</w:t>
      </w:r>
    </w:p>
    <w:p w:rsidR="00320C40" w:rsidRDefault="00FD65CE" w:rsidP="00FD65CE">
      <w:pPr>
        <w:spacing w:after="0" w:line="240" w:lineRule="auto"/>
      </w:pPr>
      <w:r>
        <w:tab/>
      </w:r>
      <w:r w:rsidR="00320C40">
        <w:t>Wie viele Quadrataufgaben findest du? ____________________</w:t>
      </w:r>
    </w:p>
    <w:p w:rsidR="00320C40" w:rsidRDefault="00FD65CE" w:rsidP="00FD65CE">
      <w:pPr>
        <w:spacing w:after="0" w:line="240" w:lineRule="auto"/>
      </w:pPr>
      <w:r>
        <w:tab/>
      </w:r>
      <w:r>
        <w:br/>
      </w:r>
      <w:r>
        <w:tab/>
      </w:r>
      <w:r w:rsidR="007153DA">
        <w:t xml:space="preserve">Zur Kontrolle findest du eine Karte mit der richtigen Antwort auf dem </w:t>
      </w:r>
      <w:r>
        <w:t>Hilfetisch</w:t>
      </w:r>
      <w:r>
        <w:rPr>
          <w:rStyle w:val="Funotenzeichen"/>
        </w:rPr>
        <w:footnoteReference w:id="1"/>
      </w:r>
      <w:r w:rsidR="007153DA">
        <w:t>.</w:t>
      </w:r>
      <w:r>
        <w:br/>
      </w:r>
    </w:p>
    <w:p w:rsidR="00320C40" w:rsidRPr="00FD65CE" w:rsidRDefault="00FD65CE" w:rsidP="00320C40">
      <w:pPr>
        <w:pStyle w:val="Listenabsatz"/>
        <w:numPr>
          <w:ilvl w:val="0"/>
          <w:numId w:val="1"/>
        </w:numPr>
      </w:pPr>
      <w:r>
        <w:tab/>
      </w:r>
      <w:r w:rsidR="00320C40" w:rsidRPr="00FD65CE">
        <w:t>Lerne die Quadrataufgaben auswendig!</w:t>
      </w:r>
    </w:p>
    <w:p w:rsidR="00D63A80" w:rsidRPr="007115F1" w:rsidRDefault="00D63A80" w:rsidP="00D63A80">
      <w:pPr>
        <w:pStyle w:val="Listenabsatz"/>
        <w:ind w:left="360"/>
      </w:pPr>
    </w:p>
    <w:p w:rsidR="00D63A80" w:rsidRDefault="00FD65CE" w:rsidP="00D63A80">
      <w:pPr>
        <w:pStyle w:val="Listenabsatz"/>
        <w:numPr>
          <w:ilvl w:val="0"/>
          <w:numId w:val="1"/>
        </w:numPr>
      </w:pPr>
      <w:r>
        <w:tab/>
      </w:r>
      <w:r w:rsidR="00D63A80" w:rsidRPr="00FD65CE">
        <w:rPr>
          <w:b/>
        </w:rPr>
        <w:t>Partneraufgabe:</w:t>
      </w:r>
      <w:r w:rsidR="00D63A80">
        <w:t xml:space="preserve"> Testet euer Wissen. </w:t>
      </w:r>
      <w:r>
        <w:br/>
      </w:r>
      <w:r>
        <w:tab/>
        <w:t xml:space="preserve">Ein Partner nennt das Ergebnis, der andere die zugehörige Quadrataufgabe. Wechselt </w:t>
      </w:r>
      <w:r>
        <w:tab/>
        <w:t>euch ab.</w:t>
      </w:r>
    </w:p>
    <w:p w:rsidR="007115F1" w:rsidRDefault="00FD65CE" w:rsidP="00FD65CE">
      <w:pPr>
        <w:pBdr>
          <w:top w:val="single" w:sz="4" w:space="1" w:color="auto"/>
          <w:left w:val="single" w:sz="4" w:space="4" w:color="auto"/>
          <w:bottom w:val="single" w:sz="4" w:space="1" w:color="auto"/>
          <w:right w:val="single" w:sz="4" w:space="4" w:color="auto"/>
        </w:pBdr>
      </w:pPr>
      <w:r>
        <w:tab/>
      </w:r>
      <w:r w:rsidR="00D63A80" w:rsidRPr="00D63A80">
        <w:t xml:space="preserve">Welche Quadrataufgabe gehört zu </w:t>
      </w:r>
      <w:r w:rsidR="00D63A80">
        <w:t>de</w:t>
      </w:r>
      <w:r w:rsidR="007F428D">
        <w:t>m</w:t>
      </w:r>
      <w:r w:rsidR="00D63A80">
        <w:t xml:space="preserve"> </w:t>
      </w:r>
      <w:r w:rsidR="00D63A80" w:rsidRPr="00D63A80">
        <w:t>Ergebnis?</w:t>
      </w:r>
      <w:r w:rsidR="001D756F">
        <w:t xml:space="preserve"> </w:t>
      </w:r>
    </w:p>
    <w:p w:rsidR="00D63A80" w:rsidRDefault="00FD65CE" w:rsidP="00FD65CE">
      <w:pPr>
        <w:pBdr>
          <w:top w:val="single" w:sz="4" w:space="1" w:color="auto"/>
          <w:left w:val="single" w:sz="4" w:space="4" w:color="auto"/>
          <w:bottom w:val="single" w:sz="4" w:space="1" w:color="auto"/>
          <w:right w:val="single" w:sz="4" w:space="4" w:color="auto"/>
        </w:pBdr>
      </w:pPr>
      <w:r>
        <w:tab/>
      </w:r>
      <w:r w:rsidR="00D63A80">
        <w:t xml:space="preserve">100, </w:t>
      </w:r>
      <w:r w:rsidR="00D63A80" w:rsidRPr="00FD65CE">
        <w:rPr>
          <w:color w:val="FF0000"/>
        </w:rPr>
        <w:t>1</w:t>
      </w:r>
      <w:r w:rsidR="00D63A80">
        <w:t xml:space="preserve">, 4, </w:t>
      </w:r>
      <w:r w:rsidR="00D63A80" w:rsidRPr="00FD65CE">
        <w:rPr>
          <w:color w:val="FF0000"/>
        </w:rPr>
        <w:t>16</w:t>
      </w:r>
      <w:r w:rsidR="00D63A80">
        <w:t xml:space="preserve">, 25, </w:t>
      </w:r>
      <w:r w:rsidR="00D63A80" w:rsidRPr="00FD65CE">
        <w:rPr>
          <w:color w:val="FF0000"/>
        </w:rPr>
        <w:t>81</w:t>
      </w:r>
      <w:r w:rsidR="00D63A80">
        <w:t xml:space="preserve">, 64, </w:t>
      </w:r>
      <w:r w:rsidR="00D63A80" w:rsidRPr="00FD65CE">
        <w:rPr>
          <w:color w:val="FF0000"/>
        </w:rPr>
        <w:t>9</w:t>
      </w:r>
      <w:r w:rsidR="00D63A80">
        <w:t xml:space="preserve">, 49, </w:t>
      </w:r>
      <w:r w:rsidR="007F428D" w:rsidRPr="00FD65CE">
        <w:rPr>
          <w:color w:val="FF0000"/>
        </w:rPr>
        <w:t>36</w:t>
      </w:r>
    </w:p>
    <w:p w:rsidR="00D63A80" w:rsidRPr="00D63A80" w:rsidRDefault="00D63A80" w:rsidP="00D63A80"/>
    <w:p w:rsidR="00D83B2B" w:rsidRDefault="00320C40" w:rsidP="00320C40">
      <w:r>
        <w:t xml:space="preserve"> </w:t>
      </w:r>
      <w:r w:rsidR="00D83B2B">
        <w:br w:type="page"/>
      </w:r>
    </w:p>
    <w:p w:rsidR="00D83B2B" w:rsidRPr="002E2E53" w:rsidRDefault="00D83B2B" w:rsidP="002E2E53">
      <w:pPr>
        <w:rPr>
          <w:rFonts w:asciiTheme="majorHAnsi" w:eastAsiaTheme="majorEastAsia" w:hAnsiTheme="majorHAnsi" w:cstheme="majorBidi"/>
          <w:b/>
          <w:bCs/>
          <w:color w:val="365F91" w:themeColor="accent1" w:themeShade="BF"/>
          <w:sz w:val="28"/>
          <w:szCs w:val="28"/>
        </w:rPr>
        <w:sectPr w:rsidR="00D83B2B" w:rsidRPr="002E2E53" w:rsidSect="009A1862">
          <w:headerReference w:type="default" r:id="rId9"/>
          <w:footerReference w:type="default" r:id="rId10"/>
          <w:headerReference w:type="first" r:id="rId11"/>
          <w:pgSz w:w="11906" w:h="16838"/>
          <w:pgMar w:top="1417" w:right="1417" w:bottom="1134" w:left="1417" w:header="708" w:footer="708" w:gutter="0"/>
          <w:cols w:space="708"/>
          <w:docGrid w:linePitch="360"/>
        </w:sectPr>
      </w:pPr>
    </w:p>
    <w:p w:rsidR="00660A83" w:rsidRPr="00FD65CE" w:rsidRDefault="00660A83" w:rsidP="00FD65CE">
      <w:pPr>
        <w:rPr>
          <w:b/>
        </w:rPr>
      </w:pPr>
      <w:r w:rsidRPr="00FD65CE">
        <w:rPr>
          <w:b/>
        </w:rPr>
        <w:lastRenderedPageBreak/>
        <w:t>Lehrerinformation</w:t>
      </w:r>
    </w:p>
    <w:p w:rsidR="009565AD" w:rsidRDefault="00C50FFB" w:rsidP="00FD65CE">
      <w:r w:rsidRPr="00FD65CE">
        <w:rPr>
          <w:b/>
        </w:rPr>
        <w:t>Zielgruppe:</w:t>
      </w:r>
      <w:r>
        <w:t xml:space="preserve"> Schülerinnen und Schüler </w:t>
      </w:r>
      <w:r w:rsidR="00F13E1A">
        <w:t>in den z</w:t>
      </w:r>
      <w:r w:rsidR="00C62204">
        <w:t>ieldifferenten Bildungsgängen</w:t>
      </w:r>
    </w:p>
    <w:p w:rsidR="004B7A4C" w:rsidRPr="009565AD" w:rsidRDefault="00D43A54" w:rsidP="00D470DF">
      <w:pPr>
        <w:rPr>
          <w:b/>
        </w:rPr>
      </w:pPr>
      <w:r>
        <w:rPr>
          <w:b/>
        </w:rPr>
        <w:t xml:space="preserve">Kompetenzerwartung und </w:t>
      </w:r>
      <w:r w:rsidR="00C62204" w:rsidRPr="009565AD">
        <w:rPr>
          <w:b/>
        </w:rPr>
        <w:t>Bezug zum Kernlehrplan :</w:t>
      </w:r>
    </w:p>
    <w:p w:rsidR="00DA0ECC" w:rsidRDefault="001D756F" w:rsidP="00FD65CE">
      <w:pPr>
        <w:spacing w:after="0"/>
      </w:pPr>
      <w:r>
        <w:t xml:space="preserve">Diese Aufgabe trägt zur Förderung der folgenden Kompetenzen bei, die laut Kernlehrplan für die </w:t>
      </w:r>
      <w:r w:rsidRPr="00FD65CE">
        <w:rPr>
          <w:b/>
        </w:rPr>
        <w:t>Hauptschule</w:t>
      </w:r>
      <w:r>
        <w:t xml:space="preserve"> in NRW am Ende der jeweils angegebenen Jahrgangsstufe erreicht sein sollen, wobei die prozessbezogenen Kompetenzen generell ab Beginn der Jahrgangsstufe 5 gefördert werden.</w:t>
      </w:r>
      <w:r>
        <w:rPr>
          <w:rStyle w:val="Funotenzeichen"/>
          <w:b/>
        </w:rPr>
        <w:footnoteReference w:id="2"/>
      </w:r>
    </w:p>
    <w:p w:rsidR="001D756F" w:rsidRDefault="001D756F" w:rsidP="00FD65CE">
      <w:pPr>
        <w:spacing w:after="0"/>
      </w:pPr>
    </w:p>
    <w:p w:rsidR="00DA0ECC" w:rsidRDefault="00DA0ECC" w:rsidP="00DA0ECC">
      <w:pPr>
        <w:spacing w:after="0"/>
        <w:ind w:firstLine="708"/>
        <w:rPr>
          <w:b/>
        </w:rPr>
      </w:pPr>
      <w:r w:rsidRPr="00FD65CE">
        <w:rPr>
          <w:b/>
        </w:rPr>
        <w:t>Inhaltsbezogene Kompetenzen:</w:t>
      </w:r>
    </w:p>
    <w:p w:rsidR="001D756F" w:rsidRPr="001D756F" w:rsidRDefault="001D756F" w:rsidP="00DA0ECC">
      <w:pPr>
        <w:spacing w:after="0"/>
        <w:ind w:firstLine="708"/>
      </w:pPr>
      <w:r w:rsidRPr="00FD65CE">
        <w:t>Bis Ende Jahrgangsstufe 8:</w:t>
      </w:r>
    </w:p>
    <w:p w:rsidR="00983E4A" w:rsidRDefault="0032096E" w:rsidP="00FD65CE">
      <w:pPr>
        <w:spacing w:after="0"/>
        <w:ind w:left="709"/>
      </w:pPr>
      <w:r>
        <w:rPr>
          <w:i/>
        </w:rPr>
        <w:t xml:space="preserve">Arithmetik/Algebra – mit Zahlen und Symbolen umgehen können: </w:t>
      </w:r>
      <w:r>
        <w:t xml:space="preserve">Die Schülerinnen und Schüler können Operationseigenschaften (Umkehrbarkeit) </w:t>
      </w:r>
      <w:r>
        <w:rPr>
          <w:rFonts w:cstheme="minorHAnsi"/>
        </w:rPr>
        <w:t>[</w:t>
      </w:r>
      <w:r>
        <w:t>…</w:t>
      </w:r>
      <w:r>
        <w:rPr>
          <w:rFonts w:cstheme="minorHAnsi"/>
        </w:rPr>
        <w:t>]</w:t>
      </w:r>
      <w:r>
        <w:t xml:space="preserve"> nutzen</w:t>
      </w:r>
      <w:r w:rsidR="00DA0ECC">
        <w:t>.</w:t>
      </w:r>
      <w:r w:rsidR="00DA0ECC">
        <w:rPr>
          <w:rStyle w:val="Funotenzeichen"/>
        </w:rPr>
        <w:footnoteReference w:id="3"/>
      </w:r>
      <w:r w:rsidR="00DA0ECC">
        <w:t xml:space="preserve"> </w:t>
      </w:r>
    </w:p>
    <w:p w:rsidR="001D756F" w:rsidRPr="00FD65CE" w:rsidRDefault="0021694E" w:rsidP="0021694E">
      <w:pPr>
        <w:ind w:left="708"/>
        <w:rPr>
          <w:rFonts w:cstheme="minorHAnsi"/>
        </w:rPr>
      </w:pPr>
      <w:r>
        <w:t xml:space="preserve">Die Schülerinnen und Schüler können Quadratwurzeln </w:t>
      </w:r>
      <w:r>
        <w:rPr>
          <w:rFonts w:cstheme="minorHAnsi"/>
        </w:rPr>
        <w:t>[</w:t>
      </w:r>
      <w:r>
        <w:t>…</w:t>
      </w:r>
      <w:r>
        <w:rPr>
          <w:rFonts w:cstheme="minorHAnsi"/>
        </w:rPr>
        <w:t>]bestimmen.</w:t>
      </w:r>
      <w:r>
        <w:rPr>
          <w:rStyle w:val="Funotenzeichen"/>
          <w:rFonts w:cstheme="minorHAnsi"/>
        </w:rPr>
        <w:footnoteReference w:id="4"/>
      </w:r>
    </w:p>
    <w:p w:rsidR="00983E4A" w:rsidRPr="00FD65CE" w:rsidRDefault="00844041" w:rsidP="00FD65CE">
      <w:pPr>
        <w:spacing w:after="0"/>
        <w:ind w:left="709"/>
        <w:rPr>
          <w:rFonts w:cstheme="minorHAnsi"/>
          <w:b/>
        </w:rPr>
      </w:pPr>
      <w:r w:rsidRPr="00FD65CE">
        <w:rPr>
          <w:rFonts w:cstheme="minorHAnsi"/>
          <w:b/>
        </w:rPr>
        <w:t>Prozessbezogene Kompetenzen:</w:t>
      </w:r>
    </w:p>
    <w:p w:rsidR="00844041" w:rsidRPr="0032096E" w:rsidRDefault="00A8347D" w:rsidP="00DA0ECC">
      <w:pPr>
        <w:ind w:left="708"/>
      </w:pPr>
      <w:r w:rsidRPr="00FD65CE">
        <w:rPr>
          <w:rFonts w:cstheme="minorHAnsi"/>
          <w:i/>
        </w:rPr>
        <w:t xml:space="preserve">Argumentieren: </w:t>
      </w:r>
      <w:r w:rsidR="00844041">
        <w:rPr>
          <w:rFonts w:cstheme="minorHAnsi"/>
        </w:rPr>
        <w:t xml:space="preserve">Die Schülerinnen und </w:t>
      </w:r>
      <w:r w:rsidR="005A5CCE">
        <w:rPr>
          <w:rFonts w:cstheme="minorHAnsi"/>
        </w:rPr>
        <w:t>Schüler erfassen Zusammenhänge.</w:t>
      </w:r>
      <w:r w:rsidR="005A5CCE">
        <w:rPr>
          <w:rStyle w:val="Funotenzeichen"/>
          <w:rFonts w:cstheme="minorHAnsi"/>
        </w:rPr>
        <w:footnoteReference w:id="5"/>
      </w:r>
    </w:p>
    <w:p w:rsidR="001D756F" w:rsidRPr="00390671" w:rsidRDefault="001D756F" w:rsidP="001D756F">
      <w:pPr>
        <w:rPr>
          <w:b/>
        </w:rPr>
      </w:pPr>
      <w:r w:rsidRPr="00FB12CC">
        <w:rPr>
          <w:b/>
        </w:rPr>
        <w:t>Zur Information:</w:t>
      </w:r>
      <w:r>
        <w:rPr>
          <w:b/>
        </w:rPr>
        <w:t xml:space="preserve"> </w:t>
      </w:r>
      <w:r>
        <w:t xml:space="preserve">Einordnung in den Kernlehrplan für das </w:t>
      </w:r>
      <w:r w:rsidRPr="00FB12CC">
        <w:rPr>
          <w:b/>
        </w:rPr>
        <w:t>Gymnasium</w:t>
      </w:r>
      <w:r>
        <w:t xml:space="preserve"> in NRW</w:t>
      </w:r>
    </w:p>
    <w:p w:rsidR="00535B6D" w:rsidRPr="00535B6D" w:rsidRDefault="00535B6D" w:rsidP="00535B6D">
      <w:pPr>
        <w:spacing w:after="0"/>
        <w:ind w:firstLine="708"/>
        <w:rPr>
          <w:b/>
        </w:rPr>
      </w:pPr>
      <w:r w:rsidRPr="00535B6D">
        <w:rPr>
          <w:b/>
        </w:rPr>
        <w:t>Inhaltsbezogene Kompetenzen:</w:t>
      </w:r>
    </w:p>
    <w:p w:rsidR="001D756F" w:rsidRDefault="001D756F" w:rsidP="001D756F">
      <w:pPr>
        <w:spacing w:after="0"/>
        <w:ind w:firstLine="708"/>
      </w:pPr>
      <w:r>
        <w:t>Kompetenzerwartun</w:t>
      </w:r>
      <w:r w:rsidR="00981FF2">
        <w:t>gen am Ende der Jahrgangsstufe 6</w:t>
      </w:r>
      <w:r>
        <w:t xml:space="preserve">: </w:t>
      </w:r>
    </w:p>
    <w:p w:rsidR="00981FF2" w:rsidRDefault="00981FF2" w:rsidP="00FD65CE">
      <w:pPr>
        <w:spacing w:after="0"/>
        <w:ind w:left="708"/>
      </w:pPr>
      <w:r w:rsidRPr="00FD65CE">
        <w:rPr>
          <w:i/>
        </w:rPr>
        <w:t>Arithmetik/Algebra – mit Zahlen und Symbolen umgehen</w:t>
      </w:r>
      <w:r>
        <w:t xml:space="preserve">: Die Schülerinnen und Schüler führen Grundrechenarten (Kopfrechnen und schriftliche Rechenverfahren) mit natürlichen Zahlen </w:t>
      </w:r>
      <w:r>
        <w:rPr>
          <w:rFonts w:cstheme="minorHAnsi"/>
        </w:rPr>
        <w:t>[</w:t>
      </w:r>
      <w:r>
        <w:t>…</w:t>
      </w:r>
      <w:r>
        <w:rPr>
          <w:rFonts w:cstheme="minorHAnsi"/>
        </w:rPr>
        <w:t>]</w:t>
      </w:r>
      <w:r>
        <w:t xml:space="preserve"> aus.</w:t>
      </w:r>
      <w:r>
        <w:rPr>
          <w:rStyle w:val="Funotenzeichen"/>
        </w:rPr>
        <w:footnoteReference w:id="6"/>
      </w:r>
    </w:p>
    <w:p w:rsidR="00535B6D" w:rsidRDefault="00535B6D" w:rsidP="00FD65CE">
      <w:pPr>
        <w:spacing w:after="0"/>
        <w:ind w:left="708"/>
      </w:pPr>
      <w:r>
        <w:t>Kompetenzerwartungen am Ende der Jahrgangsstufe 8:</w:t>
      </w:r>
    </w:p>
    <w:p w:rsidR="00535B6D" w:rsidRDefault="00535B6D" w:rsidP="00FD65CE">
      <w:pPr>
        <w:spacing w:after="0"/>
        <w:ind w:left="708"/>
      </w:pPr>
      <w:r w:rsidRPr="00535B6D">
        <w:rPr>
          <w:i/>
        </w:rPr>
        <w:t>Arithmetik/Algebra – mit Zahlen und Symbolen umgehen</w:t>
      </w:r>
      <w:r>
        <w:t xml:space="preserve">: Die Schülerinnen und Schüler </w:t>
      </w:r>
      <w:r w:rsidR="0021694E">
        <w:t>wenden das Radizieren als Umkehren des Potenzierens an. Sie berechnen und überschlagen Quadratwurzeln einfacher Zahlen im Kopf.</w:t>
      </w:r>
      <w:r w:rsidR="0021694E">
        <w:rPr>
          <w:rStyle w:val="Funotenzeichen"/>
        </w:rPr>
        <w:footnoteReference w:id="7"/>
      </w:r>
    </w:p>
    <w:p w:rsidR="009565AD" w:rsidRDefault="009565AD" w:rsidP="009565AD">
      <w:pPr>
        <w:spacing w:after="0"/>
        <w:rPr>
          <w:b/>
        </w:rPr>
      </w:pPr>
    </w:p>
    <w:p w:rsidR="00C91B14" w:rsidRDefault="00C91B14" w:rsidP="00C62204">
      <w:pPr>
        <w:spacing w:after="0"/>
      </w:pPr>
    </w:p>
    <w:p w:rsidR="00983E4A" w:rsidRPr="00FD65CE" w:rsidRDefault="00A8347D" w:rsidP="00FD65CE">
      <w:pPr>
        <w:spacing w:after="0"/>
        <w:rPr>
          <w:b/>
        </w:rPr>
      </w:pPr>
      <w:r w:rsidRPr="00FD65CE">
        <w:rPr>
          <w:b/>
        </w:rPr>
        <w:t>Didaktischer Kommentar:</w:t>
      </w:r>
    </w:p>
    <w:p w:rsidR="0021694E" w:rsidRDefault="0021694E" w:rsidP="001D756F">
      <w:pPr>
        <w:spacing w:after="0"/>
      </w:pPr>
      <w:r>
        <w:t>Diese Aufgabe soll das Vorwissen der Schülerinnen und Schüler aktivieren.</w:t>
      </w:r>
    </w:p>
    <w:p w:rsidR="0021694E" w:rsidRDefault="0021694E" w:rsidP="001D756F">
      <w:pPr>
        <w:spacing w:after="0"/>
      </w:pPr>
    </w:p>
    <w:p w:rsidR="0021694E" w:rsidRDefault="0021694E" w:rsidP="001D756F">
      <w:pPr>
        <w:spacing w:after="0"/>
      </w:pPr>
      <w:r>
        <w:t xml:space="preserve">Es werden </w:t>
      </w:r>
      <w:r w:rsidRPr="000E627E">
        <w:rPr>
          <w:b/>
        </w:rPr>
        <w:t>Grundvorstellungen</w:t>
      </w:r>
      <w:r>
        <w:t xml:space="preserve"> in den folgenden Bereichen gebildet: </w:t>
      </w:r>
    </w:p>
    <w:p w:rsidR="0021694E" w:rsidRDefault="0021694E" w:rsidP="001D756F">
      <w:pPr>
        <w:spacing w:after="0"/>
      </w:pPr>
      <w:r>
        <w:t>Arithmetik:</w:t>
      </w:r>
      <w:r w:rsidR="001D756F">
        <w:t xml:space="preserve"> Vervielfachungs-Vorstellung,</w:t>
      </w:r>
    </w:p>
    <w:p w:rsidR="001D756F" w:rsidRDefault="0021694E" w:rsidP="001D756F">
      <w:pPr>
        <w:spacing w:after="0"/>
      </w:pPr>
      <w:r>
        <w:t xml:space="preserve">Geometrie: </w:t>
      </w:r>
      <w:r w:rsidR="001D756F">
        <w:t>Ausdehnungs-Vorstellung</w:t>
      </w:r>
      <w:r>
        <w:t>.</w:t>
      </w:r>
    </w:p>
    <w:p w:rsidR="0021694E" w:rsidRDefault="0021694E" w:rsidP="001D756F">
      <w:pPr>
        <w:spacing w:after="0"/>
      </w:pPr>
    </w:p>
    <w:p w:rsidR="00D470DF" w:rsidRPr="00D470DF" w:rsidRDefault="000E627E" w:rsidP="00D470DF">
      <w:r>
        <w:t>Die abstrakte Handlung des Radizierens kann durch folgende Anschauung verdeutlicht werden:</w:t>
      </w:r>
      <w:r>
        <w:br/>
        <w:t>Die Aufgabe</w:t>
      </w:r>
      <w:r w:rsidR="00653D09">
        <w:t>n</w:t>
      </w:r>
      <w:r>
        <w:t xml:space="preserve">form, </w:t>
      </w:r>
      <w:r w:rsidR="00C62204">
        <w:t xml:space="preserve"> „Welche Malaufgabe ergibt 6</w:t>
      </w:r>
      <w:r w:rsidR="00102B8E">
        <w:t>?</w:t>
      </w:r>
      <w:r w:rsidR="00D470DF">
        <w:t>“</w:t>
      </w:r>
      <w:r w:rsidR="00653D09">
        <w:t>, ist eine gängige</w:t>
      </w:r>
      <w:r w:rsidR="00D470DF">
        <w:t xml:space="preserve">. </w:t>
      </w:r>
      <w:r w:rsidR="00653D09">
        <w:t>Sie lässt sich</w:t>
      </w:r>
      <w:r w:rsidR="00D470DF">
        <w:t xml:space="preserve"> </w:t>
      </w:r>
      <w:r w:rsidR="005A0B39">
        <w:t xml:space="preserve">auf </w:t>
      </w:r>
      <w:r w:rsidR="00653D09">
        <w:t xml:space="preserve">Quadrataufgaben </w:t>
      </w:r>
      <w:r w:rsidR="005A0B39">
        <w:t xml:space="preserve">übertragen </w:t>
      </w:r>
      <w:r w:rsidR="00102B8E">
        <w:t xml:space="preserve">und als Bild im Hunderterfeld </w:t>
      </w:r>
      <w:r w:rsidR="00653D09">
        <w:t>veranschaulichen.</w:t>
      </w:r>
      <w:r w:rsidR="00653D09">
        <w:br/>
        <w:t>D</w:t>
      </w:r>
      <w:r w:rsidR="00EF28E5">
        <w:t xml:space="preserve">ie </w:t>
      </w:r>
      <w:r w:rsidR="00C62204">
        <w:t>Schülerinnen und Schüler</w:t>
      </w:r>
      <w:r w:rsidR="00102B8E">
        <w:t xml:space="preserve"> </w:t>
      </w:r>
      <w:r w:rsidR="00653D09">
        <w:t>haben die Möglichkeit, diese Anschauung</w:t>
      </w:r>
      <w:r w:rsidR="00102B8E">
        <w:t xml:space="preserve"> </w:t>
      </w:r>
      <w:r w:rsidR="00653D09">
        <w:t xml:space="preserve">auf die Form </w:t>
      </w:r>
      <w:r w:rsidR="00102B8E">
        <w:t xml:space="preserve">„Quadrat“ </w:t>
      </w:r>
      <w:r w:rsidR="00653D09">
        <w:t>zu generalisieren. Das Verständnis, v</w:t>
      </w:r>
      <w:r w:rsidR="00102B8E">
        <w:t>on der Quadratfläche ausgehend</w:t>
      </w:r>
      <w:r w:rsidR="00EF28E5">
        <w:t xml:space="preserve"> die </w:t>
      </w:r>
      <w:r w:rsidR="009621FD">
        <w:t xml:space="preserve">Länge der </w:t>
      </w:r>
      <w:r w:rsidR="00EF28E5">
        <w:t xml:space="preserve">Quadratseite </w:t>
      </w:r>
      <w:r w:rsidR="00653D09">
        <w:t xml:space="preserve">zu </w:t>
      </w:r>
      <w:r w:rsidR="00EF28E5">
        <w:t>be</w:t>
      </w:r>
      <w:r w:rsidR="00653D09">
        <w:t>stimmen kann dadurch veranschaulicht werden</w:t>
      </w:r>
      <w:r w:rsidR="00EF28E5">
        <w:t xml:space="preserve">. </w:t>
      </w:r>
      <w:r w:rsidR="00653D09">
        <w:br/>
      </w:r>
      <w:r w:rsidR="00EF28E5">
        <w:t>D</w:t>
      </w:r>
      <w:r w:rsidR="00102B8E">
        <w:t xml:space="preserve">urch </w:t>
      </w:r>
      <w:r w:rsidR="00EF28E5">
        <w:t>diese Vorgehensweise entsteht eine Vorstellung vo</w:t>
      </w:r>
      <w:r w:rsidR="009621FD">
        <w:t>m</w:t>
      </w:r>
      <w:r w:rsidR="007115F1">
        <w:t xml:space="preserve"> Radizieren als Umkehrung d</w:t>
      </w:r>
      <w:r w:rsidR="00EF28E5">
        <w:t>es Quadr</w:t>
      </w:r>
      <w:r w:rsidR="009621FD">
        <w:t>ierens</w:t>
      </w:r>
      <w:r w:rsidR="007115F1">
        <w:t xml:space="preserve">. </w:t>
      </w:r>
      <w:r w:rsidR="00B41595">
        <w:t>Die Vorstellung vo</w:t>
      </w:r>
      <w:r w:rsidR="009621FD">
        <w:t>m</w:t>
      </w:r>
      <w:r w:rsidR="00B41595">
        <w:t xml:space="preserve"> Quadr</w:t>
      </w:r>
      <w:r w:rsidR="009621FD">
        <w:t>ieren</w:t>
      </w:r>
      <w:r w:rsidR="00B41595">
        <w:t xml:space="preserve"> </w:t>
      </w:r>
      <w:r w:rsidR="00653D09">
        <w:t xml:space="preserve">ist </w:t>
      </w:r>
      <w:r w:rsidR="00B41595">
        <w:t>eine Voraussetzung dafür, dass die Schülerinnen und Schüler den Satz des Pythagoras nach</w:t>
      </w:r>
      <w:r w:rsidR="00102B8E">
        <w:t>vollziehen</w:t>
      </w:r>
      <w:r w:rsidR="00B41595">
        <w:t xml:space="preserve"> können</w:t>
      </w:r>
      <w:r w:rsidR="00320F0C">
        <w:t xml:space="preserve"> (</w:t>
      </w:r>
      <w:r w:rsidR="00653D09">
        <w:t>siehe</w:t>
      </w:r>
      <w:r w:rsidR="00320F0C">
        <w:t xml:space="preserve"> C 2)</w:t>
      </w:r>
      <w:r w:rsidR="00B41595">
        <w:t xml:space="preserve">. </w:t>
      </w:r>
      <w:r w:rsidR="00653D09">
        <w:br/>
      </w:r>
      <w:r w:rsidR="00B41595">
        <w:t xml:space="preserve">Wird diese Vorstellung </w:t>
      </w:r>
      <w:r w:rsidR="009621FD">
        <w:t>durch die</w:t>
      </w:r>
      <w:r w:rsidR="00B41595">
        <w:t xml:space="preserve"> Vorstellung </w:t>
      </w:r>
      <w:r w:rsidR="009621FD">
        <w:t>vom</w:t>
      </w:r>
      <w:r w:rsidR="00B41595">
        <w:t xml:space="preserve"> Radizieren ergänzt, </w:t>
      </w:r>
      <w:r w:rsidR="009621FD">
        <w:t>können</w:t>
      </w:r>
      <w:r w:rsidR="00B41595">
        <w:t xml:space="preserve"> die Schülerinnen und Schüler </w:t>
      </w:r>
      <w:r w:rsidR="00320F0C">
        <w:t xml:space="preserve"> den Satz des Pythagoras</w:t>
      </w:r>
      <w:r w:rsidR="005A0B39">
        <w:t xml:space="preserve"> an</w:t>
      </w:r>
      <w:r w:rsidR="009621FD">
        <w:t xml:space="preserve"> einfache</w:t>
      </w:r>
      <w:r w:rsidR="005A0B39">
        <w:t>n</w:t>
      </w:r>
      <w:r w:rsidR="009621FD">
        <w:t xml:space="preserve"> Zahlentrippel</w:t>
      </w:r>
      <w:r w:rsidR="005A0B39">
        <w:t>n</w:t>
      </w:r>
      <w:r w:rsidR="00320F0C">
        <w:t xml:space="preserve"> anwenden</w:t>
      </w:r>
      <w:r w:rsidR="009621FD">
        <w:t>.</w:t>
      </w:r>
      <w:r w:rsidR="00320F0C">
        <w:t xml:space="preserve"> </w:t>
      </w:r>
      <w:r w:rsidR="009621FD">
        <w:t xml:space="preserve">Außerdem </w:t>
      </w:r>
      <w:r w:rsidR="00320F0C">
        <w:t xml:space="preserve">werden sie die Funktion „Wurzel ziehen“ am Taschenrechner nicht </w:t>
      </w:r>
      <w:r w:rsidR="00653D09">
        <w:t>nur rein mechanisch anwenden (siehe</w:t>
      </w:r>
      <w:r w:rsidR="00320F0C">
        <w:t xml:space="preserve"> D 2). </w:t>
      </w:r>
    </w:p>
    <w:p w:rsidR="00660A83" w:rsidRDefault="00660A83" w:rsidP="00660A83">
      <w:pPr>
        <w:pStyle w:val="berschrift2"/>
      </w:pPr>
    </w:p>
    <w:p w:rsidR="000E627E" w:rsidRPr="000A1F8D" w:rsidRDefault="000E627E" w:rsidP="000E627E">
      <w:pPr>
        <w:spacing w:after="0"/>
        <w:rPr>
          <w:b/>
        </w:rPr>
      </w:pPr>
      <w:r>
        <w:rPr>
          <w:b/>
        </w:rPr>
        <w:t>Impulse zur Binnend</w:t>
      </w:r>
      <w:r w:rsidRPr="000A1F8D">
        <w:rPr>
          <w:b/>
        </w:rPr>
        <w:t>ifferenzierung</w:t>
      </w:r>
      <w:r>
        <w:rPr>
          <w:b/>
        </w:rPr>
        <w:t>/zum zieldifferenten Lernen</w:t>
      </w:r>
      <w:r w:rsidRPr="000A1F8D">
        <w:rPr>
          <w:b/>
        </w:rPr>
        <w:t>:</w:t>
      </w:r>
    </w:p>
    <w:p w:rsidR="00803610" w:rsidRPr="00803610" w:rsidRDefault="00803610" w:rsidP="000E627E">
      <w:r>
        <w:t xml:space="preserve">Zur </w:t>
      </w:r>
      <w:r w:rsidR="000E627E">
        <w:t xml:space="preserve">weiteren </w:t>
      </w:r>
      <w:r>
        <w:t xml:space="preserve">Differenzierung </w:t>
      </w:r>
      <w:r w:rsidR="000E627E">
        <w:t>kann</w:t>
      </w:r>
      <w:r>
        <w:t xml:space="preserve"> die Vertiefungsfrage </w:t>
      </w:r>
      <w:r w:rsidR="000E627E">
        <w:t xml:space="preserve">genutzt </w:t>
      </w:r>
      <w:r>
        <w:t>werden, warum die behandelten Aufgaben Quadrataufgaben heißen.</w:t>
      </w:r>
    </w:p>
    <w:p w:rsidR="00983E4A" w:rsidRDefault="00A8347D" w:rsidP="000E627E">
      <w:pPr>
        <w:spacing w:after="0"/>
      </w:pPr>
      <w:r w:rsidRPr="00FD65CE">
        <w:rPr>
          <w:b/>
        </w:rPr>
        <w:t>Material:</w:t>
      </w:r>
    </w:p>
    <w:p w:rsidR="00983E4A" w:rsidRDefault="00DA0ECC" w:rsidP="00FD65CE">
      <w:pPr>
        <w:ind w:left="708"/>
      </w:pPr>
      <w:r w:rsidRPr="00DA0ECC">
        <w:t>Hunderterfeld, Kontrollkarte</w:t>
      </w:r>
    </w:p>
    <w:p w:rsidR="00660A83" w:rsidRPr="00660A83" w:rsidRDefault="00660A83" w:rsidP="00660A83"/>
    <w:p w:rsidR="005E2EFB" w:rsidRDefault="005E2EFB"/>
    <w:p w:rsidR="005E2EFB" w:rsidRDefault="005E2EFB"/>
    <w:sectPr w:rsidR="005E2EFB" w:rsidSect="00FD65CE">
      <w:headerReference w:type="default"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15" w:rsidRDefault="00774215" w:rsidP="005E2EFB">
      <w:pPr>
        <w:spacing w:after="0" w:line="240" w:lineRule="auto"/>
      </w:pPr>
      <w:r>
        <w:separator/>
      </w:r>
    </w:p>
  </w:endnote>
  <w:endnote w:type="continuationSeparator" w:id="0">
    <w:p w:rsidR="00774215" w:rsidRDefault="00774215"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583279773"/>
        <w:docPartObj>
          <w:docPartGallery w:val="Page Numbers (Bottom of Page)"/>
          <w:docPartUnique/>
        </w:docPartObj>
      </w:sdtPr>
      <w:sdtEndPr>
        <w:rPr>
          <w:rFonts w:asciiTheme="minorHAnsi" w:eastAsiaTheme="minorHAnsi" w:hAnsiTheme="minorHAnsi" w:cstheme="minorBidi"/>
          <w:sz w:val="24"/>
          <w:szCs w:val="22"/>
        </w:rPr>
      </w:sdtEndPr>
      <w:sdtContent>
        <w:tr w:rsidR="00102487">
          <w:trPr>
            <w:trHeight w:val="727"/>
          </w:trPr>
          <w:tc>
            <w:tcPr>
              <w:tcW w:w="4000" w:type="pct"/>
              <w:tcBorders>
                <w:right w:val="triple" w:sz="4" w:space="0" w:color="4F81BD" w:themeColor="accent1"/>
              </w:tcBorders>
            </w:tcPr>
            <w:p w:rsidR="00102487" w:rsidRDefault="0010248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02487" w:rsidRDefault="0010248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36739">
                <w:rPr>
                  <w:noProof/>
                </w:rPr>
                <w:t>1</w:t>
              </w:r>
              <w:r>
                <w:fldChar w:fldCharType="end"/>
              </w:r>
            </w:p>
          </w:tc>
        </w:tr>
      </w:sdtContent>
    </w:sdt>
  </w:tbl>
  <w:p w:rsidR="005E2EFB" w:rsidRDefault="005E2EFB" w:rsidP="007D07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988897777"/>
        <w:docPartObj>
          <w:docPartGallery w:val="Page Numbers (Bottom of Page)"/>
          <w:docPartUnique/>
        </w:docPartObj>
      </w:sdtPr>
      <w:sdtEndPr>
        <w:rPr>
          <w:rFonts w:asciiTheme="minorHAnsi" w:eastAsiaTheme="minorHAnsi" w:hAnsiTheme="minorHAnsi" w:cstheme="minorBidi"/>
          <w:sz w:val="24"/>
          <w:szCs w:val="22"/>
        </w:rPr>
      </w:sdtEndPr>
      <w:sdtContent>
        <w:tr w:rsidR="00FD65CE">
          <w:trPr>
            <w:trHeight w:val="727"/>
          </w:trPr>
          <w:tc>
            <w:tcPr>
              <w:tcW w:w="4000" w:type="pct"/>
              <w:tcBorders>
                <w:right w:val="triple" w:sz="4" w:space="0" w:color="4F81BD" w:themeColor="accent1"/>
              </w:tcBorders>
            </w:tcPr>
            <w:p w:rsidR="00FD65CE" w:rsidRDefault="00FD65CE">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FD65CE" w:rsidRDefault="00FD65CE">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36739">
                <w:rPr>
                  <w:noProof/>
                </w:rPr>
                <w:t>2</w:t>
              </w:r>
              <w:r>
                <w:fldChar w:fldCharType="end"/>
              </w:r>
            </w:p>
          </w:tc>
        </w:tr>
      </w:sdtContent>
    </w:sdt>
  </w:tbl>
  <w:p w:rsidR="002D69D1" w:rsidRPr="00C73BFF" w:rsidRDefault="002D69D1" w:rsidP="00C73BF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2037765223"/>
        <w:docPartObj>
          <w:docPartGallery w:val="Page Numbers (Bottom of Page)"/>
          <w:docPartUnique/>
        </w:docPartObj>
      </w:sdtPr>
      <w:sdtEndPr>
        <w:rPr>
          <w:rFonts w:asciiTheme="minorHAnsi" w:eastAsiaTheme="minorHAnsi" w:hAnsiTheme="minorHAnsi" w:cstheme="minorBidi"/>
          <w:sz w:val="24"/>
          <w:szCs w:val="22"/>
        </w:rPr>
      </w:sdtEndPr>
      <w:sdtContent>
        <w:tr w:rsidR="00FD65CE">
          <w:trPr>
            <w:trHeight w:val="727"/>
          </w:trPr>
          <w:tc>
            <w:tcPr>
              <w:tcW w:w="4000" w:type="pct"/>
              <w:tcBorders>
                <w:right w:val="triple" w:sz="4" w:space="0" w:color="4F81BD" w:themeColor="accent1"/>
              </w:tcBorders>
            </w:tcPr>
            <w:p w:rsidR="00FD65CE" w:rsidRDefault="00FD65CE">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FD65CE" w:rsidRDefault="00FD65CE">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2</w:t>
              </w:r>
              <w:r>
                <w:fldChar w:fldCharType="end"/>
              </w:r>
            </w:p>
          </w:tc>
        </w:tr>
      </w:sdtContent>
    </w:sdt>
  </w:tbl>
  <w:p w:rsidR="002D69D1" w:rsidRDefault="002D69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15" w:rsidRDefault="00774215" w:rsidP="005E2EFB">
      <w:pPr>
        <w:spacing w:after="0" w:line="240" w:lineRule="auto"/>
      </w:pPr>
      <w:r>
        <w:separator/>
      </w:r>
    </w:p>
  </w:footnote>
  <w:footnote w:type="continuationSeparator" w:id="0">
    <w:p w:rsidR="00774215" w:rsidRDefault="00774215" w:rsidP="005E2EFB">
      <w:pPr>
        <w:spacing w:after="0" w:line="240" w:lineRule="auto"/>
      </w:pPr>
      <w:r>
        <w:continuationSeparator/>
      </w:r>
    </w:p>
  </w:footnote>
  <w:footnote w:id="1">
    <w:p w:rsidR="00FD65CE" w:rsidRDefault="00FD65CE">
      <w:pPr>
        <w:pStyle w:val="Funotentext"/>
      </w:pPr>
      <w:r>
        <w:rPr>
          <w:rStyle w:val="Funotenzeichen"/>
        </w:rPr>
        <w:footnoteRef/>
      </w:r>
      <w:r>
        <w:t xml:space="preserve"> „i“ einfügen: Zur Funktion des Hilfetisches finden Sie hier weitere Ausführungen: </w:t>
      </w:r>
      <w:hyperlink r:id="rId1" w:history="1">
        <w:r w:rsidRPr="00705A5E">
          <w:rPr>
            <w:rStyle w:val="Hyperlink"/>
          </w:rPr>
          <w:t>https://www.schulentwicklung.nrw.de/cms/inklusiver-fachunterricht/lernumgebungen-gestalten/differenzierung/index.html</w:t>
        </w:r>
      </w:hyperlink>
      <w:r>
        <w:t xml:space="preserve"> </w:t>
      </w:r>
    </w:p>
  </w:footnote>
  <w:footnote w:id="2">
    <w:p w:rsidR="001D756F" w:rsidRDefault="001D756F" w:rsidP="001D756F">
      <w:pPr>
        <w:pStyle w:val="Funotentext"/>
      </w:pPr>
      <w:r>
        <w:rPr>
          <w:rStyle w:val="Funotenzeichen"/>
        </w:rPr>
        <w:footnoteRef/>
      </w:r>
      <w:r>
        <w:t xml:space="preserve"> 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br/>
        <w:t>In diesem Zusammenhang ist auch insbesondere der § 32.2  zur Leistungsbewertung wichtig:</w:t>
      </w:r>
    </w:p>
    <w:p w:rsidR="001D756F" w:rsidRDefault="001D756F" w:rsidP="001D756F">
      <w:pPr>
        <w:pStyle w:val="Funotentext"/>
      </w:pPr>
      <w: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3">
    <w:p w:rsidR="00DA0ECC" w:rsidRDefault="00DA0ECC" w:rsidP="00DA0ECC">
      <w:pPr>
        <w:pStyle w:val="Funotentext"/>
      </w:pPr>
      <w:r>
        <w:rPr>
          <w:rStyle w:val="Funotenzeichen"/>
        </w:rPr>
        <w:footnoteRef/>
      </w:r>
      <w:r>
        <w:t xml:space="preserve"> Vgl. Kernlehrplan und Richtlinien für die Hauptschule in NRW. Mathematik, MSW, 2011, S. 2</w:t>
      </w:r>
      <w:r w:rsidR="0032096E">
        <w:t>2</w:t>
      </w:r>
      <w:r>
        <w:t>.</w:t>
      </w:r>
    </w:p>
  </w:footnote>
  <w:footnote w:id="4">
    <w:p w:rsidR="0021694E" w:rsidRDefault="0021694E" w:rsidP="0021694E">
      <w:pPr>
        <w:pStyle w:val="Funotentext"/>
      </w:pPr>
      <w:r>
        <w:rPr>
          <w:rStyle w:val="Funotenzeichen"/>
        </w:rPr>
        <w:footnoteRef/>
      </w:r>
      <w:r>
        <w:t xml:space="preserve"> Vgl. ebd. S. 23.</w:t>
      </w:r>
    </w:p>
  </w:footnote>
  <w:footnote w:id="5">
    <w:p w:rsidR="005A5CCE" w:rsidRDefault="005A5CCE">
      <w:pPr>
        <w:pStyle w:val="Funotentext"/>
      </w:pPr>
      <w:r>
        <w:rPr>
          <w:rStyle w:val="Funotenzeichen"/>
        </w:rPr>
        <w:footnoteRef/>
      </w:r>
      <w:r>
        <w:t xml:space="preserve"> Vgl. ebd. S. 18.</w:t>
      </w:r>
    </w:p>
  </w:footnote>
  <w:footnote w:id="6">
    <w:p w:rsidR="00535B6D" w:rsidRDefault="00981FF2" w:rsidP="00535B6D">
      <w:pPr>
        <w:pStyle w:val="Funotentext"/>
      </w:pPr>
      <w:r>
        <w:rPr>
          <w:rStyle w:val="Funotenzeichen"/>
        </w:rPr>
        <w:footnoteRef/>
      </w:r>
      <w:r>
        <w:t xml:space="preserve"> </w:t>
      </w:r>
      <w:r w:rsidR="00535B6D">
        <w:t xml:space="preserve">Vgl. </w:t>
      </w:r>
      <w:r w:rsidR="00535B6D" w:rsidRPr="00C15B67">
        <w:t>Kernlehrplan für das Gymnasi</w:t>
      </w:r>
      <w:r w:rsidR="00535B6D">
        <w:t xml:space="preserve">um – Sekundarstufe I (G8) </w:t>
      </w:r>
      <w:r w:rsidR="00535B6D" w:rsidRPr="00C15B67">
        <w:t xml:space="preserve">. Mathematik, </w:t>
      </w:r>
      <w:r w:rsidR="00535B6D">
        <w:t>MSW, 2007, S. 21</w:t>
      </w:r>
      <w:r w:rsidR="00535B6D" w:rsidRPr="00C15B67">
        <w:t>.</w:t>
      </w:r>
    </w:p>
    <w:p w:rsidR="00981FF2" w:rsidRDefault="00981FF2">
      <w:pPr>
        <w:pStyle w:val="Funotentext"/>
      </w:pPr>
    </w:p>
  </w:footnote>
  <w:footnote w:id="7">
    <w:p w:rsidR="0021694E" w:rsidRDefault="0021694E">
      <w:pPr>
        <w:pStyle w:val="Funotentext"/>
      </w:pPr>
      <w:r>
        <w:rPr>
          <w:rStyle w:val="Funotenzeichen"/>
        </w:rPr>
        <w:footnoteRef/>
      </w:r>
      <w:r>
        <w:t xml:space="preserve"> Vgl. ebd. S.26.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FB" w:rsidRDefault="009A1862">
    <w:pPr>
      <w:pStyle w:val="Kopfzeile"/>
    </w:pPr>
    <w:r>
      <w:t>B2</w:t>
    </w:r>
    <w:r w:rsidR="00636739">
      <w:t>.1</w:t>
    </w:r>
    <w:r>
      <w:tab/>
    </w:r>
    <w:r w:rsidR="00636739">
      <w:t>Besondere Malaufgaben</w:t>
    </w:r>
    <w:r w:rsidR="005E2EF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FB" w:rsidRDefault="00320C40">
    <w:pPr>
      <w:pStyle w:val="Kopfzeile"/>
    </w:pPr>
    <w:r>
      <w:t>B2.1</w:t>
    </w:r>
    <w:r w:rsidR="001D756F">
      <w:tab/>
      <w:t>Quadrate zeichnen und deren Flächeninhalte bestimmen</w:t>
    </w:r>
    <w:r w:rsidR="00D83B2B">
      <w:tab/>
    </w:r>
    <w:r w:rsidR="00D83B2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636739">
    <w:pPr>
      <w:pStyle w:val="Kopfzeile"/>
    </w:pPr>
    <w:r>
      <w:t>B2.1</w:t>
    </w:r>
    <w:r>
      <w:tab/>
      <w:t>Besondere Malaufgaben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C91B14">
    <w:pPr>
      <w:pStyle w:val="Kopfzeile"/>
    </w:pPr>
    <w:r>
      <w:t>B2.1</w:t>
    </w:r>
    <w:r w:rsidR="001D756F">
      <w:tab/>
      <w:t>Quadrate zeichnen und deren Flächeninhalte bestimmen</w:t>
    </w:r>
    <w:r w:rsidR="002E2E53">
      <w:tab/>
    </w:r>
    <w:r w:rsidR="002E2E5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3766"/>
    <w:multiLevelType w:val="hybridMultilevel"/>
    <w:tmpl w:val="EC528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E529D8"/>
    <w:multiLevelType w:val="hybridMultilevel"/>
    <w:tmpl w:val="F4AAD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4933380"/>
    <w:multiLevelType w:val="hybridMultilevel"/>
    <w:tmpl w:val="33F0F95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5E2EFB"/>
    <w:rsid w:val="000E627E"/>
    <w:rsid w:val="00102487"/>
    <w:rsid w:val="00102B8E"/>
    <w:rsid w:val="001502AB"/>
    <w:rsid w:val="00182747"/>
    <w:rsid w:val="001842A0"/>
    <w:rsid w:val="0019383C"/>
    <w:rsid w:val="0019407E"/>
    <w:rsid w:val="001C6D2F"/>
    <w:rsid w:val="001D756F"/>
    <w:rsid w:val="0021694E"/>
    <w:rsid w:val="00292E25"/>
    <w:rsid w:val="002D69D1"/>
    <w:rsid w:val="002E2E53"/>
    <w:rsid w:val="002E3177"/>
    <w:rsid w:val="0032096E"/>
    <w:rsid w:val="00320C40"/>
    <w:rsid w:val="00320F0C"/>
    <w:rsid w:val="003239CD"/>
    <w:rsid w:val="004260C6"/>
    <w:rsid w:val="00432596"/>
    <w:rsid w:val="00497239"/>
    <w:rsid w:val="004B7A4C"/>
    <w:rsid w:val="00532778"/>
    <w:rsid w:val="00535B6D"/>
    <w:rsid w:val="00570FB4"/>
    <w:rsid w:val="005A0B39"/>
    <w:rsid w:val="005A5CCE"/>
    <w:rsid w:val="005E2EFB"/>
    <w:rsid w:val="00636739"/>
    <w:rsid w:val="00652E2A"/>
    <w:rsid w:val="00653D09"/>
    <w:rsid w:val="00660A83"/>
    <w:rsid w:val="006A75A3"/>
    <w:rsid w:val="007115F1"/>
    <w:rsid w:val="007153DA"/>
    <w:rsid w:val="00770D9B"/>
    <w:rsid w:val="00774215"/>
    <w:rsid w:val="007D07DA"/>
    <w:rsid w:val="007F428D"/>
    <w:rsid w:val="00803610"/>
    <w:rsid w:val="00816BAE"/>
    <w:rsid w:val="008262A6"/>
    <w:rsid w:val="0083508B"/>
    <w:rsid w:val="00844041"/>
    <w:rsid w:val="00894DDE"/>
    <w:rsid w:val="008C4971"/>
    <w:rsid w:val="008E5E67"/>
    <w:rsid w:val="009565AD"/>
    <w:rsid w:val="009621FD"/>
    <w:rsid w:val="009712D2"/>
    <w:rsid w:val="00981FF2"/>
    <w:rsid w:val="00983E4A"/>
    <w:rsid w:val="009A1862"/>
    <w:rsid w:val="009A2C63"/>
    <w:rsid w:val="009C5E64"/>
    <w:rsid w:val="009F341B"/>
    <w:rsid w:val="00A7062A"/>
    <w:rsid w:val="00A8347D"/>
    <w:rsid w:val="00B41595"/>
    <w:rsid w:val="00BF4530"/>
    <w:rsid w:val="00C50FFB"/>
    <w:rsid w:val="00C62204"/>
    <w:rsid w:val="00C73BFF"/>
    <w:rsid w:val="00C91B14"/>
    <w:rsid w:val="00C91D86"/>
    <w:rsid w:val="00CF6CC9"/>
    <w:rsid w:val="00D43A54"/>
    <w:rsid w:val="00D470DF"/>
    <w:rsid w:val="00D63A80"/>
    <w:rsid w:val="00D83B2B"/>
    <w:rsid w:val="00DA0ECC"/>
    <w:rsid w:val="00E66895"/>
    <w:rsid w:val="00EF28E5"/>
    <w:rsid w:val="00F13E1A"/>
    <w:rsid w:val="00FB1850"/>
    <w:rsid w:val="00FD6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320C40"/>
    <w:pPr>
      <w:ind w:left="720"/>
      <w:contextualSpacing/>
    </w:pPr>
  </w:style>
  <w:style w:type="character" w:styleId="Kommentarzeichen">
    <w:name w:val="annotation reference"/>
    <w:basedOn w:val="Absatz-Standardschriftart"/>
    <w:uiPriority w:val="99"/>
    <w:semiHidden/>
    <w:unhideWhenUsed/>
    <w:rsid w:val="00C50FFB"/>
    <w:rPr>
      <w:sz w:val="16"/>
      <w:szCs w:val="16"/>
    </w:rPr>
  </w:style>
  <w:style w:type="paragraph" w:styleId="Kommentartext">
    <w:name w:val="annotation text"/>
    <w:basedOn w:val="Standard"/>
    <w:link w:val="KommentartextZchn"/>
    <w:uiPriority w:val="99"/>
    <w:semiHidden/>
    <w:unhideWhenUsed/>
    <w:rsid w:val="00C50F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FFB"/>
    <w:rPr>
      <w:sz w:val="20"/>
      <w:szCs w:val="20"/>
    </w:rPr>
  </w:style>
  <w:style w:type="paragraph" w:styleId="Kommentarthema">
    <w:name w:val="annotation subject"/>
    <w:basedOn w:val="Kommentartext"/>
    <w:next w:val="Kommentartext"/>
    <w:link w:val="KommentarthemaZchn"/>
    <w:uiPriority w:val="99"/>
    <w:semiHidden/>
    <w:unhideWhenUsed/>
    <w:rsid w:val="00C50FFB"/>
    <w:rPr>
      <w:b/>
      <w:bCs/>
    </w:rPr>
  </w:style>
  <w:style w:type="character" w:customStyle="1" w:styleId="KommentarthemaZchn">
    <w:name w:val="Kommentarthema Zchn"/>
    <w:basedOn w:val="KommentartextZchn"/>
    <w:link w:val="Kommentarthema"/>
    <w:uiPriority w:val="99"/>
    <w:semiHidden/>
    <w:rsid w:val="00C50FFB"/>
    <w:rPr>
      <w:b/>
      <w:bCs/>
      <w:sz w:val="20"/>
      <w:szCs w:val="20"/>
    </w:rPr>
  </w:style>
  <w:style w:type="paragraph" w:styleId="Funotentext">
    <w:name w:val="footnote text"/>
    <w:basedOn w:val="Standard"/>
    <w:link w:val="FunotentextZchn"/>
    <w:unhideWhenUsed/>
    <w:qFormat/>
    <w:rsid w:val="00DA0ECC"/>
    <w:pPr>
      <w:spacing w:after="0" w:line="240" w:lineRule="auto"/>
    </w:pPr>
    <w:rPr>
      <w:sz w:val="20"/>
      <w:szCs w:val="20"/>
    </w:rPr>
  </w:style>
  <w:style w:type="character" w:customStyle="1" w:styleId="FunotentextZchn">
    <w:name w:val="Fußnotentext Zchn"/>
    <w:basedOn w:val="Absatz-Standardschriftart"/>
    <w:link w:val="Funotentext"/>
    <w:rsid w:val="00DA0ECC"/>
    <w:rPr>
      <w:sz w:val="20"/>
      <w:szCs w:val="20"/>
    </w:rPr>
  </w:style>
  <w:style w:type="character" w:styleId="Funotenzeichen">
    <w:name w:val="footnote reference"/>
    <w:basedOn w:val="Absatz-Standardschriftart"/>
    <w:uiPriority w:val="99"/>
    <w:semiHidden/>
    <w:unhideWhenUsed/>
    <w:rsid w:val="00DA0ECC"/>
    <w:rPr>
      <w:vertAlign w:val="superscript"/>
    </w:rPr>
  </w:style>
  <w:style w:type="character" w:styleId="Hyperlink">
    <w:name w:val="Hyperlink"/>
    <w:basedOn w:val="Absatz-Standardschriftart"/>
    <w:uiPriority w:val="99"/>
    <w:unhideWhenUsed/>
    <w:rsid w:val="00FD65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Listenabsatz">
    <w:name w:val="List Paragraph"/>
    <w:basedOn w:val="Standard"/>
    <w:uiPriority w:val="34"/>
    <w:qFormat/>
    <w:rsid w:val="00320C40"/>
    <w:pPr>
      <w:ind w:left="720"/>
      <w:contextualSpacing/>
    </w:pPr>
  </w:style>
  <w:style w:type="character" w:styleId="Kommentarzeichen">
    <w:name w:val="annotation reference"/>
    <w:basedOn w:val="Absatz-Standardschriftart"/>
    <w:uiPriority w:val="99"/>
    <w:semiHidden/>
    <w:unhideWhenUsed/>
    <w:rsid w:val="00C50FFB"/>
    <w:rPr>
      <w:sz w:val="16"/>
      <w:szCs w:val="16"/>
    </w:rPr>
  </w:style>
  <w:style w:type="paragraph" w:styleId="Kommentartext">
    <w:name w:val="annotation text"/>
    <w:basedOn w:val="Standard"/>
    <w:link w:val="KommentartextZchn"/>
    <w:uiPriority w:val="99"/>
    <w:semiHidden/>
    <w:unhideWhenUsed/>
    <w:rsid w:val="00C50F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FFB"/>
    <w:rPr>
      <w:sz w:val="20"/>
      <w:szCs w:val="20"/>
    </w:rPr>
  </w:style>
  <w:style w:type="paragraph" w:styleId="Kommentarthema">
    <w:name w:val="annotation subject"/>
    <w:basedOn w:val="Kommentartext"/>
    <w:next w:val="Kommentartext"/>
    <w:link w:val="KommentarthemaZchn"/>
    <w:uiPriority w:val="99"/>
    <w:semiHidden/>
    <w:unhideWhenUsed/>
    <w:rsid w:val="00C50FFB"/>
    <w:rPr>
      <w:b/>
      <w:bCs/>
    </w:rPr>
  </w:style>
  <w:style w:type="character" w:customStyle="1" w:styleId="KommentarthemaZchn">
    <w:name w:val="Kommentarthema Zchn"/>
    <w:basedOn w:val="KommentartextZchn"/>
    <w:link w:val="Kommentarthema"/>
    <w:uiPriority w:val="99"/>
    <w:semiHidden/>
    <w:rsid w:val="00C50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entwicklung.nrw.de/cms/inklusiver-fachunterricht/lernumgebungen-gestalten/differenzierung/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F042-FDC6-4071-A117-C43D4892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9BC3787A.dotm</Template>
  <TotalTime>0</TotalTime>
  <Pages>3</Pages>
  <Words>493</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Anwender</dc:creator>
  <cp:keywords>inklusiver Fachunterricht, Mathematik, rechter Winkel, Lernaufgaben</cp:keywords>
  <cp:lastModifiedBy>Eßer, Susanne</cp:lastModifiedBy>
  <cp:revision>8</cp:revision>
  <cp:lastPrinted>2017-06-08T06:56:00Z</cp:lastPrinted>
  <dcterms:created xsi:type="dcterms:W3CDTF">2018-03-15T08:44:00Z</dcterms:created>
  <dcterms:modified xsi:type="dcterms:W3CDTF">2018-07-02T12:13:00Z</dcterms:modified>
</cp:coreProperties>
</file>