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EFB" w:rsidRPr="008262A6" w:rsidRDefault="00A73476" w:rsidP="008262A6">
      <w:pPr>
        <w:pStyle w:val="Titel"/>
      </w:pPr>
      <w:bookmarkStart w:id="0" w:name="_GoBack"/>
      <w:bookmarkEnd w:id="0"/>
      <w:r>
        <w:t>Argumentieren mit der Flächeninhaltsformel</w:t>
      </w:r>
    </w:p>
    <w:p w:rsidR="00A73476" w:rsidRDefault="00A73476" w:rsidP="00A73476">
      <w:pPr>
        <w:rPr>
          <w:rFonts w:eastAsiaTheme="majorEastAsia" w:cs="Arial"/>
        </w:rPr>
      </w:pPr>
    </w:p>
    <w:p w:rsidR="00A73476" w:rsidRPr="00166546" w:rsidRDefault="00A73476" w:rsidP="00A73476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 xml:space="preserve">a∙b=36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m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:rsidR="00166546" w:rsidRPr="00D77014" w:rsidRDefault="00166546" w:rsidP="00A73476">
      <w:pPr>
        <w:rPr>
          <w:rFonts w:eastAsiaTheme="minorEastAsia"/>
        </w:rPr>
      </w:pPr>
    </w:p>
    <w:p w:rsidR="00A73476" w:rsidRDefault="00A73476" w:rsidP="00660A83"/>
    <w:p w:rsidR="00590668" w:rsidRDefault="007452F4" w:rsidP="00590668">
      <w:pPr>
        <w:pStyle w:val="Listenabsatz"/>
        <w:numPr>
          <w:ilvl w:val="0"/>
          <w:numId w:val="1"/>
        </w:numPr>
      </w:pPr>
      <w:r>
        <w:t xml:space="preserve">Gesucht ist </w:t>
      </w:r>
      <w:r w:rsidR="00AA083A">
        <w:t xml:space="preserve"> ein </w:t>
      </w:r>
      <w:r>
        <w:t>Rechteck</w:t>
      </w:r>
      <w:r w:rsidR="00A73476">
        <w:t xml:space="preserve"> mit einem Flächeninhalt von </w:t>
      </w:r>
      <m:oMath>
        <m:r>
          <w:rPr>
            <w:rFonts w:ascii="Cambria Math" w:hAnsi="Cambria Math"/>
          </w:rPr>
          <m:t xml:space="preserve">36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A73476" w:rsidRPr="00590668">
        <w:rPr>
          <w:rFonts w:eastAsiaTheme="minorEastAsia"/>
        </w:rPr>
        <w:t xml:space="preserve"> . </w:t>
      </w:r>
      <w:r w:rsidR="00346AB4">
        <w:rPr>
          <w:rFonts w:eastAsiaTheme="minorEastAsia"/>
        </w:rPr>
        <w:br/>
      </w:r>
      <w:r w:rsidR="00A73476">
        <w:t xml:space="preserve">Wie lang könnten die Seiten sein? </w:t>
      </w:r>
      <w:r w:rsidR="00346AB4">
        <w:br/>
      </w:r>
      <w:r w:rsidR="00A73476">
        <w:t xml:space="preserve">Gibt es mehrere Möglichkeiten? </w:t>
      </w:r>
      <w:r w:rsidR="00346AB4">
        <w:br/>
      </w:r>
      <w:r w:rsidR="00A73476">
        <w:t>Schreibe und zeichne alle gefundenen Lösungen</w:t>
      </w:r>
      <w:r>
        <w:t xml:space="preserve"> auf</w:t>
      </w:r>
      <w:r w:rsidR="00A73476">
        <w:t xml:space="preserve">. </w:t>
      </w:r>
      <w:r w:rsidR="00346AB4">
        <w:br/>
      </w:r>
      <w:r w:rsidR="00A73476">
        <w:t>Begründe deine</w:t>
      </w:r>
      <w:r>
        <w:t xml:space="preserve"> Lösung</w:t>
      </w:r>
      <w:r w:rsidR="00346AB4">
        <w:t>en</w:t>
      </w:r>
      <w:r w:rsidR="00A73476">
        <w:t>.</w:t>
      </w:r>
      <w:r w:rsidR="00166546">
        <w:t xml:space="preserve"> </w:t>
      </w:r>
    </w:p>
    <w:p w:rsidR="00590668" w:rsidRDefault="00590668" w:rsidP="00590668"/>
    <w:p w:rsidR="00590668" w:rsidRPr="00590668" w:rsidRDefault="00590668" w:rsidP="00590668">
      <w:pPr>
        <w:pStyle w:val="Listenabsatz"/>
        <w:numPr>
          <w:ilvl w:val="0"/>
          <w:numId w:val="1"/>
        </w:numPr>
        <w:rPr>
          <w:rFonts w:eastAsiaTheme="minorEastAsia"/>
        </w:rPr>
      </w:pPr>
      <w:r>
        <w:t>Schreibe alle möglichen Lösungen zu den nachfolgenden Flächeninhalt</w:t>
      </w:r>
      <w:r w:rsidR="007452F4">
        <w:t>sgleichungen auf</w:t>
      </w:r>
      <w:r>
        <w:t xml:space="preserve">: </w:t>
      </w:r>
    </w:p>
    <w:p w:rsidR="00590668" w:rsidRPr="00590668" w:rsidRDefault="00590668" w:rsidP="00590668">
      <w:pPr>
        <w:pStyle w:val="Listenabsatz"/>
        <w:rPr>
          <w:rFonts w:ascii="Cambria Math" w:hAnsi="Cambria Math"/>
          <w:oMath/>
        </w:rPr>
      </w:pPr>
    </w:p>
    <w:p w:rsidR="00590668" w:rsidRPr="00AA083A" w:rsidRDefault="00590668" w:rsidP="00AA083A">
      <w:pPr>
        <w:rPr>
          <w:rFonts w:ascii="Cambria Math" w:hAnsi="Cambria Math"/>
          <w:i/>
        </w:rPr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 xml:space="preserve">a∙b=144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m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:rsidR="00590668" w:rsidRPr="00590668" w:rsidRDefault="00590668" w:rsidP="00590668">
      <w:pPr>
        <w:rPr>
          <w:rFonts w:eastAsiaTheme="minorEastAsia"/>
        </w:rPr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 xml:space="preserve">a∙b=200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m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:rsidR="00590668" w:rsidRPr="00590668" w:rsidRDefault="00590668" w:rsidP="00590668">
      <w:pPr>
        <w:rPr>
          <w:rFonts w:eastAsiaTheme="minorEastAsia"/>
        </w:rPr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 xml:space="preserve">a∙b=397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m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:rsidR="00590668" w:rsidRDefault="00590668" w:rsidP="00590668"/>
    <w:p w:rsidR="00A73476" w:rsidRDefault="00A73476" w:rsidP="00660A83"/>
    <w:p w:rsidR="0023184E" w:rsidRDefault="0023184E" w:rsidP="00660A83"/>
    <w:p w:rsidR="00D83B2B" w:rsidRDefault="00D83B2B">
      <w:r>
        <w:br w:type="page"/>
      </w:r>
    </w:p>
    <w:p w:rsidR="00DC199F" w:rsidRPr="00346AB4" w:rsidRDefault="00DC199F" w:rsidP="00570FB4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Material zur </w:t>
      </w:r>
      <w:r w:rsidRPr="00346AB4">
        <w:rPr>
          <w:b/>
          <w:sz w:val="32"/>
          <w:szCs w:val="32"/>
        </w:rPr>
        <w:t>Differenzierung</w:t>
      </w:r>
    </w:p>
    <w:p w:rsidR="00A73476" w:rsidRDefault="00EB08C0" w:rsidP="00570FB4">
      <w:r>
        <w:t>S</w:t>
      </w:r>
      <w:r w:rsidR="00A73476">
        <w:t xml:space="preserve">chneide die Einheitsquadrate aus und lege sie so um, dass </w:t>
      </w:r>
      <w:r w:rsidR="00346AB4">
        <w:t>verschiedene Rechtecke mit dem gleichen Flächeninhalt entstehen.</w:t>
      </w:r>
      <w:r w:rsidR="00346AB4">
        <w:br/>
      </w:r>
      <w:r w:rsidR="00A73476">
        <w:t>Notiere dir die</w:t>
      </w:r>
      <w:r w:rsidR="00EB2F32">
        <w:t xml:space="preserve"> jeweiligen</w:t>
      </w:r>
      <w:r w:rsidR="00A73476">
        <w:t xml:space="preserve"> Seitenlängen.</w:t>
      </w:r>
    </w:p>
    <w:tbl>
      <w:tblPr>
        <w:tblStyle w:val="Tabellenraster"/>
        <w:tblW w:w="9639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66546" w:rsidTr="00166546">
        <w:trPr>
          <w:trHeight w:val="567"/>
        </w:trPr>
        <w:tc>
          <w:tcPr>
            <w:tcW w:w="567" w:type="dxa"/>
          </w:tcPr>
          <w:p w:rsidR="00166546" w:rsidRDefault="00166546" w:rsidP="003A0B9B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3A0B9B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3A0B9B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3A0B9B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3A0B9B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3A0B9B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3A0B9B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3A0B9B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3A0B9B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3A0B9B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3A0B9B">
            <w:pPr>
              <w:rPr>
                <w:rFonts w:eastAsiaTheme="minorEastAsia"/>
              </w:rPr>
            </w:pPr>
          </w:p>
        </w:tc>
      </w:tr>
      <w:tr w:rsidR="00166546" w:rsidTr="00166546">
        <w:trPr>
          <w:trHeight w:val="567"/>
        </w:trPr>
        <w:tc>
          <w:tcPr>
            <w:tcW w:w="567" w:type="dxa"/>
          </w:tcPr>
          <w:p w:rsidR="00166546" w:rsidRDefault="00166546" w:rsidP="003A0B9B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3A0B9B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3A0B9B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3A0B9B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3A0B9B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3A0B9B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3A0B9B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3A0B9B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3A0B9B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3A0B9B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3A0B9B">
            <w:pPr>
              <w:rPr>
                <w:rFonts w:eastAsiaTheme="minorEastAsia"/>
              </w:rPr>
            </w:pPr>
          </w:p>
        </w:tc>
      </w:tr>
      <w:tr w:rsidR="00166546" w:rsidTr="00166546">
        <w:trPr>
          <w:trHeight w:val="567"/>
        </w:trPr>
        <w:tc>
          <w:tcPr>
            <w:tcW w:w="567" w:type="dxa"/>
          </w:tcPr>
          <w:p w:rsidR="00166546" w:rsidRDefault="00166546" w:rsidP="003A0B9B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3A0B9B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3A0B9B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3A0B9B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3A0B9B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3A0B9B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3A0B9B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3A0B9B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3A0B9B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3A0B9B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3A0B9B">
            <w:pPr>
              <w:rPr>
                <w:rFonts w:eastAsiaTheme="minorEastAsia"/>
              </w:rPr>
            </w:pPr>
          </w:p>
        </w:tc>
      </w:tr>
      <w:tr w:rsidR="00166546" w:rsidTr="00166546">
        <w:trPr>
          <w:trHeight w:val="567"/>
        </w:trPr>
        <w:tc>
          <w:tcPr>
            <w:tcW w:w="567" w:type="dxa"/>
          </w:tcPr>
          <w:p w:rsidR="00166546" w:rsidRDefault="00166546" w:rsidP="003A0B9B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3A0B9B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3A0B9B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3A0B9B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3A0B9B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3A0B9B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3A0B9B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3A0B9B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3A0B9B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3A0B9B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3A0B9B">
            <w:pPr>
              <w:rPr>
                <w:rFonts w:eastAsiaTheme="minorEastAsia"/>
              </w:rPr>
            </w:pPr>
          </w:p>
        </w:tc>
      </w:tr>
      <w:tr w:rsidR="00166546" w:rsidTr="001D269D">
        <w:trPr>
          <w:trHeight w:val="567"/>
        </w:trPr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</w:tr>
      <w:tr w:rsidR="00166546" w:rsidTr="001D269D">
        <w:trPr>
          <w:trHeight w:val="567"/>
        </w:trPr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</w:tr>
      <w:tr w:rsidR="00166546" w:rsidTr="001D269D">
        <w:trPr>
          <w:trHeight w:val="567"/>
        </w:trPr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</w:tr>
      <w:tr w:rsidR="00166546" w:rsidTr="001D269D">
        <w:trPr>
          <w:trHeight w:val="567"/>
        </w:trPr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</w:tr>
      <w:tr w:rsidR="00166546" w:rsidTr="001D269D">
        <w:trPr>
          <w:trHeight w:val="567"/>
        </w:trPr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</w:tr>
      <w:tr w:rsidR="00166546" w:rsidTr="001D269D">
        <w:trPr>
          <w:trHeight w:val="567"/>
        </w:trPr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</w:tr>
      <w:tr w:rsidR="00166546" w:rsidTr="001D269D">
        <w:trPr>
          <w:trHeight w:val="567"/>
        </w:trPr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</w:tr>
      <w:tr w:rsidR="00166546" w:rsidTr="001D269D">
        <w:trPr>
          <w:trHeight w:val="567"/>
        </w:trPr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</w:tr>
      <w:tr w:rsidR="00166546" w:rsidTr="001D269D">
        <w:trPr>
          <w:trHeight w:val="567"/>
        </w:trPr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</w:tr>
      <w:tr w:rsidR="00166546" w:rsidTr="001D269D">
        <w:trPr>
          <w:trHeight w:val="567"/>
        </w:trPr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</w:tr>
      <w:tr w:rsidR="00166546" w:rsidTr="001D269D">
        <w:trPr>
          <w:trHeight w:val="567"/>
        </w:trPr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</w:tr>
      <w:tr w:rsidR="00166546" w:rsidTr="001D269D">
        <w:trPr>
          <w:trHeight w:val="567"/>
        </w:trPr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</w:tr>
      <w:tr w:rsidR="00166546" w:rsidTr="001D269D">
        <w:trPr>
          <w:trHeight w:val="567"/>
        </w:trPr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</w:tr>
      <w:tr w:rsidR="00166546" w:rsidTr="00166546">
        <w:trPr>
          <w:trHeight w:val="567"/>
        </w:trPr>
        <w:tc>
          <w:tcPr>
            <w:tcW w:w="567" w:type="dxa"/>
          </w:tcPr>
          <w:p w:rsidR="00166546" w:rsidRDefault="00166546" w:rsidP="003A0B9B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3A0B9B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3A0B9B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3A0B9B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3A0B9B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3A0B9B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3A0B9B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3A0B9B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3A0B9B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3A0B9B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3A0B9B">
            <w:pPr>
              <w:rPr>
                <w:rFonts w:eastAsiaTheme="minorEastAsia"/>
              </w:rPr>
            </w:pPr>
          </w:p>
        </w:tc>
      </w:tr>
      <w:tr w:rsidR="00166546" w:rsidTr="00166546">
        <w:trPr>
          <w:trHeight w:val="567"/>
        </w:trPr>
        <w:tc>
          <w:tcPr>
            <w:tcW w:w="567" w:type="dxa"/>
          </w:tcPr>
          <w:p w:rsidR="00166546" w:rsidRDefault="00166546" w:rsidP="003A0B9B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3A0B9B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3A0B9B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3A0B9B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3A0B9B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3A0B9B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3A0B9B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3A0B9B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1D269D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3A0B9B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3A0B9B">
            <w:pPr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166546" w:rsidRDefault="00166546" w:rsidP="003A0B9B">
            <w:pPr>
              <w:rPr>
                <w:rFonts w:eastAsiaTheme="minorEastAsia"/>
              </w:rPr>
            </w:pPr>
          </w:p>
        </w:tc>
      </w:tr>
    </w:tbl>
    <w:p w:rsidR="00A73476" w:rsidRDefault="00A73476" w:rsidP="00570FB4"/>
    <w:p w:rsidR="00570FB4" w:rsidRDefault="00570FB4" w:rsidP="00570FB4">
      <w:p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r>
        <w:br w:type="page"/>
      </w:r>
    </w:p>
    <w:p w:rsidR="00660A83" w:rsidRPr="00346AB4" w:rsidRDefault="00861E61" w:rsidP="00EB08C0">
      <w:pPr>
        <w:rPr>
          <w:b/>
        </w:rPr>
      </w:pPr>
      <w:r w:rsidRPr="00346AB4">
        <w:rPr>
          <w:b/>
        </w:rPr>
        <w:lastRenderedPageBreak/>
        <w:t>Lehrerinformation</w:t>
      </w:r>
    </w:p>
    <w:p w:rsidR="0092748A" w:rsidRDefault="00861E61" w:rsidP="0092748A">
      <w:r w:rsidRPr="00346AB4">
        <w:rPr>
          <w:b/>
        </w:rPr>
        <w:t>Zielgruppe:</w:t>
      </w:r>
      <w:r w:rsidR="0092748A">
        <w:t xml:space="preserve"> Für Schülerinnen und Sch</w:t>
      </w:r>
      <w:r w:rsidR="008E5841">
        <w:t>ü</w:t>
      </w:r>
      <w:r w:rsidR="0092748A">
        <w:t>ler im Bildungsgang Gymnasium</w:t>
      </w:r>
    </w:p>
    <w:p w:rsidR="00B102C8" w:rsidRDefault="00861E61" w:rsidP="00346AB4">
      <w:pPr>
        <w:spacing w:after="0"/>
      </w:pPr>
      <w:r w:rsidRPr="00346AB4">
        <w:rPr>
          <w:b/>
        </w:rPr>
        <w:t>Kompetenzerwartung und Bezug zum Kernlehrplan:</w:t>
      </w:r>
    </w:p>
    <w:p w:rsidR="00B102C8" w:rsidRPr="00346AB4" w:rsidRDefault="00244169" w:rsidP="00346AB4">
      <w:pPr>
        <w:spacing w:after="0"/>
      </w:pPr>
      <w:r w:rsidRPr="00EF4EDD">
        <w:t>Diese Aufgabe trägt zur Förderung der folgenden Kompetenzen bei, die laut Kernlehrplan für d</w:t>
      </w:r>
      <w:r w:rsidR="00861E61">
        <w:t xml:space="preserve">as </w:t>
      </w:r>
      <w:r w:rsidR="00861E61">
        <w:rPr>
          <w:b/>
        </w:rPr>
        <w:t>Gymnasium</w:t>
      </w:r>
      <w:r w:rsidR="00861E61">
        <w:t xml:space="preserve"> i</w:t>
      </w:r>
      <w:r w:rsidR="000039C3">
        <w:t>n NRW am Ende der</w:t>
      </w:r>
      <w:r w:rsidR="00861E61">
        <w:t xml:space="preserve"> </w:t>
      </w:r>
      <w:r w:rsidR="000039C3">
        <w:t xml:space="preserve">jeweils angegebenen Jahrgangsstufe </w:t>
      </w:r>
      <w:r w:rsidRPr="00EF4EDD">
        <w:t>erreicht sein sollen</w:t>
      </w:r>
      <w:r w:rsidR="00861E61">
        <w:t>.</w:t>
      </w:r>
    </w:p>
    <w:p w:rsidR="00600BE3" w:rsidRPr="00346AB4" w:rsidRDefault="00600BE3" w:rsidP="00346AB4">
      <w:pPr>
        <w:spacing w:after="0"/>
        <w:ind w:left="709"/>
      </w:pPr>
      <w:r w:rsidRPr="00346AB4">
        <w:t>Kompetenzerwartungen am Ende der Jahrgangsstufe 9:</w:t>
      </w:r>
    </w:p>
    <w:p w:rsidR="00B102C8" w:rsidRPr="00346AB4" w:rsidRDefault="00861E61" w:rsidP="00346AB4">
      <w:pPr>
        <w:spacing w:after="0"/>
        <w:ind w:left="709"/>
        <w:rPr>
          <w:b/>
        </w:rPr>
      </w:pPr>
      <w:r w:rsidRPr="00346AB4">
        <w:rPr>
          <w:b/>
        </w:rPr>
        <w:t>Prozessbezogene Kompetenzen:</w:t>
      </w:r>
    </w:p>
    <w:p w:rsidR="00B102C8" w:rsidRDefault="00861E61" w:rsidP="00346AB4">
      <w:pPr>
        <w:spacing w:after="0"/>
        <w:ind w:left="709"/>
      </w:pPr>
      <w:r w:rsidRPr="00346AB4">
        <w:rPr>
          <w:i/>
        </w:rPr>
        <w:t>Argumentieren/Kommunizieren</w:t>
      </w:r>
      <w:r w:rsidR="00600BE3" w:rsidRPr="00346AB4">
        <w:rPr>
          <w:i/>
        </w:rPr>
        <w:t xml:space="preserve"> – kommunizieren, präsentieren und argumentieren</w:t>
      </w:r>
      <w:r w:rsidR="00244169" w:rsidRPr="00EF4EDD">
        <w:rPr>
          <w:u w:val="single"/>
        </w:rPr>
        <w:t xml:space="preserve">: </w:t>
      </w:r>
      <w:r w:rsidRPr="00346AB4">
        <w:rPr>
          <w:u w:val="single"/>
        </w:rPr>
        <w:t>Die</w:t>
      </w:r>
      <w:r w:rsidR="00244169" w:rsidRPr="00EF4EDD">
        <w:t xml:space="preserve"> Schülerinnen u</w:t>
      </w:r>
      <w:r>
        <w:t>nd Schüler</w:t>
      </w:r>
      <w:r w:rsidRPr="00346AB4">
        <w:t xml:space="preserve"> erläutern mathematische Zusammenhänge und Einsichten mit eigenen Worten</w:t>
      </w:r>
      <w:r w:rsidR="00244169" w:rsidRPr="00EF4EDD">
        <w:t xml:space="preserve"> </w:t>
      </w:r>
      <w:r w:rsidRPr="00346AB4">
        <w:t>und präzisieren sie mit geeigneten Fachbegriffen.</w:t>
      </w:r>
      <w:r w:rsidR="00F20F36" w:rsidRPr="00EF4EDD">
        <w:rPr>
          <w:rStyle w:val="Funotenzeichen"/>
        </w:rPr>
        <w:footnoteReference w:id="1"/>
      </w:r>
      <w:r w:rsidRPr="00346AB4">
        <w:t xml:space="preserve"> </w:t>
      </w:r>
    </w:p>
    <w:p w:rsidR="00B102C8" w:rsidRDefault="00F20F36" w:rsidP="00346AB4">
      <w:pPr>
        <w:ind w:left="708"/>
      </w:pPr>
      <w:r w:rsidRPr="00EF4EDD">
        <w:rPr>
          <w:i/>
          <w:u w:val="single"/>
        </w:rPr>
        <w:t>Problemlösen</w:t>
      </w:r>
      <w:r w:rsidR="00600BE3">
        <w:rPr>
          <w:i/>
          <w:u w:val="single"/>
        </w:rPr>
        <w:t xml:space="preserve"> – Probleme erfassen, erkunden und lösen</w:t>
      </w:r>
      <w:r w:rsidRPr="00EF4EDD">
        <w:rPr>
          <w:i/>
          <w:u w:val="single"/>
        </w:rPr>
        <w:t>:</w:t>
      </w:r>
      <w:r w:rsidR="00861E61" w:rsidRPr="00346AB4">
        <w:rPr>
          <w:i/>
          <w:u w:val="single"/>
        </w:rPr>
        <w:t xml:space="preserve"> </w:t>
      </w:r>
      <w:r w:rsidRPr="00EF4EDD">
        <w:t>Die Schüler</w:t>
      </w:r>
      <w:r w:rsidR="00861E61">
        <w:t xml:space="preserve">innen und Schüler </w:t>
      </w:r>
      <w:r w:rsidR="00861E61">
        <w:rPr>
          <w:rFonts w:cstheme="minorHAnsi"/>
        </w:rPr>
        <w:t>[</w:t>
      </w:r>
      <w:r w:rsidR="00861E61">
        <w:t>…</w:t>
      </w:r>
      <w:r w:rsidR="00861E61">
        <w:rPr>
          <w:rFonts w:cstheme="minorHAnsi"/>
        </w:rPr>
        <w:t>]</w:t>
      </w:r>
      <w:r w:rsidR="00861E61" w:rsidRPr="00346AB4">
        <w:t>nutzen Problemlösestrategien wie Überschlagen, Beispiele finden, systematisches</w:t>
      </w:r>
      <w:r w:rsidR="00194F58" w:rsidRPr="00EF4EDD">
        <w:t xml:space="preserve"> </w:t>
      </w:r>
      <w:r w:rsidR="00861E61" w:rsidRPr="00346AB4">
        <w:t>Probieren, Schlussfolgern, Zurückführen auf Bekanntes und Verallgemeinern.</w:t>
      </w:r>
      <w:r w:rsidR="00194F58" w:rsidRPr="00EF4EDD">
        <w:rPr>
          <w:rStyle w:val="Funotenzeichen"/>
        </w:rPr>
        <w:footnoteReference w:id="2"/>
      </w:r>
    </w:p>
    <w:p w:rsidR="00600BE3" w:rsidRPr="00346AB4" w:rsidRDefault="00600BE3" w:rsidP="00346AB4">
      <w:pPr>
        <w:spacing w:after="0"/>
        <w:ind w:left="709"/>
      </w:pPr>
      <w:r w:rsidRPr="00346AB4">
        <w:t>Kompetenzerwartungen am Ende der Jahrgangsstufe 6:</w:t>
      </w:r>
    </w:p>
    <w:p w:rsidR="00B102C8" w:rsidRPr="00346AB4" w:rsidRDefault="00861E61" w:rsidP="00346AB4">
      <w:pPr>
        <w:spacing w:after="0"/>
        <w:ind w:left="709"/>
        <w:rPr>
          <w:b/>
        </w:rPr>
      </w:pPr>
      <w:r w:rsidRPr="00346AB4">
        <w:rPr>
          <w:b/>
        </w:rPr>
        <w:t>Inhaltsbezogene Kompetenzen:</w:t>
      </w:r>
      <w:r w:rsidR="00EA0467" w:rsidRPr="00346AB4">
        <w:rPr>
          <w:b/>
        </w:rPr>
        <w:t xml:space="preserve"> </w:t>
      </w:r>
    </w:p>
    <w:p w:rsidR="0092748A" w:rsidRDefault="00861E61" w:rsidP="00346AB4">
      <w:pPr>
        <w:ind w:left="708"/>
      </w:pPr>
      <w:r w:rsidRPr="00346AB4">
        <w:rPr>
          <w:i/>
        </w:rPr>
        <w:t>Arithmetik/Algebra – mit Zahlen und Symbolen umgehen</w:t>
      </w:r>
      <w:r w:rsidR="00EA0467">
        <w:t xml:space="preserve">: Die Schülerinnen und Schüler führen Grundrechenarten mit natürlichen Zahlen aus und bestimmen Teiler </w:t>
      </w:r>
      <w:r w:rsidR="00EA0467">
        <w:rPr>
          <w:rFonts w:cstheme="minorHAnsi"/>
        </w:rPr>
        <w:t>[</w:t>
      </w:r>
      <w:r w:rsidR="00EA0467">
        <w:t>…</w:t>
      </w:r>
      <w:r w:rsidR="00EA0467">
        <w:rPr>
          <w:rFonts w:cstheme="minorHAnsi"/>
        </w:rPr>
        <w:t>]</w:t>
      </w:r>
      <w:r w:rsidR="00EA0467">
        <w:t xml:space="preserve"> natürlicher Zahlen.</w:t>
      </w:r>
      <w:r w:rsidR="00EA0467">
        <w:rPr>
          <w:rStyle w:val="Funotenzeichen"/>
        </w:rPr>
        <w:footnoteReference w:id="3"/>
      </w:r>
    </w:p>
    <w:p w:rsidR="0079582D" w:rsidRPr="0079582D" w:rsidRDefault="00861E61" w:rsidP="0092748A">
      <w:r w:rsidRPr="00346AB4">
        <w:rPr>
          <w:b/>
        </w:rPr>
        <w:t>Didaktischer Kommentar:</w:t>
      </w:r>
      <w:r w:rsidR="00346AB4">
        <w:rPr>
          <w:b/>
        </w:rPr>
        <w:br/>
      </w:r>
      <w:r w:rsidR="0079582D">
        <w:t>Die Schülerinnen und Schüler sollen erkennen, dass Rechteck</w:t>
      </w:r>
      <w:r w:rsidR="000039C3">
        <w:t>e</w:t>
      </w:r>
      <w:r w:rsidR="0079582D">
        <w:t xml:space="preserve"> mit gleich</w:t>
      </w:r>
      <w:r w:rsidR="000039C3">
        <w:t>em Flächeninhalt unterschiedlich lange Seiten haben können</w:t>
      </w:r>
      <w:r w:rsidR="0079582D">
        <w:t xml:space="preserve">, indem sie die Flächeninhaltsformel nutzen, um die Seitenlängen verschiedener Rechtecke zu einem vorgegeben Flächeninhalt zu finden. </w:t>
      </w:r>
    </w:p>
    <w:p w:rsidR="00346AB4" w:rsidRPr="000A1F8D" w:rsidRDefault="00346AB4" w:rsidP="00346AB4">
      <w:pPr>
        <w:spacing w:after="0"/>
        <w:rPr>
          <w:b/>
        </w:rPr>
      </w:pPr>
      <w:r>
        <w:rPr>
          <w:b/>
        </w:rPr>
        <w:t>Impulse zur Binnend</w:t>
      </w:r>
      <w:r w:rsidRPr="000A1F8D">
        <w:rPr>
          <w:b/>
        </w:rPr>
        <w:t>ifferenzierung</w:t>
      </w:r>
      <w:r>
        <w:rPr>
          <w:b/>
        </w:rPr>
        <w:t>/zum zieldifferenten Lernen</w:t>
      </w:r>
      <w:r w:rsidRPr="000A1F8D">
        <w:rPr>
          <w:b/>
        </w:rPr>
        <w:t>:</w:t>
      </w:r>
    </w:p>
    <w:p w:rsidR="00BA4C00" w:rsidRPr="00BA4C00" w:rsidRDefault="00BA4C00" w:rsidP="00346AB4">
      <w:r w:rsidRPr="00346AB4">
        <w:t>Für Schülerinnen und Schüler, denen das Argumentieren über die Flächeninhaltsformel zu komplex ist, kann das Differenzierungsmaterial eingesetzt und die Aufgabenstellung damit auf die handelnde Ebene gebracht werden.</w:t>
      </w:r>
    </w:p>
    <w:p w:rsidR="00B102C8" w:rsidRDefault="00861E61" w:rsidP="00346AB4">
      <w:pPr>
        <w:spacing w:after="0"/>
        <w:ind w:firstLine="709"/>
        <w:rPr>
          <w:b/>
        </w:rPr>
      </w:pPr>
      <w:r w:rsidRPr="00346AB4">
        <w:rPr>
          <w:b/>
        </w:rPr>
        <w:t>Material:</w:t>
      </w:r>
    </w:p>
    <w:p w:rsidR="00B064F2" w:rsidRDefault="00861E61" w:rsidP="00346AB4">
      <w:pPr>
        <w:spacing w:after="0"/>
        <w:ind w:firstLine="709"/>
      </w:pPr>
      <w:r w:rsidRPr="00346AB4">
        <w:t>Einheitsquadrate, Schere</w:t>
      </w:r>
    </w:p>
    <w:sectPr w:rsidR="00B064F2" w:rsidSect="003D29A2">
      <w:headerReference w:type="default" r:id="rId9"/>
      <w:footerReference w:type="default" r:id="rId10"/>
      <w:head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4F2" w:rsidRDefault="00B064F2" w:rsidP="005E2EFB">
      <w:pPr>
        <w:spacing w:after="0" w:line="240" w:lineRule="auto"/>
      </w:pPr>
      <w:r>
        <w:separator/>
      </w:r>
    </w:p>
  </w:endnote>
  <w:endnote w:type="continuationSeparator" w:id="0">
    <w:p w:rsidR="00B064F2" w:rsidRDefault="00B064F2" w:rsidP="005E2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430"/>
      <w:gridCol w:w="1858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31382175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4"/>
          <w:szCs w:val="22"/>
        </w:rPr>
      </w:sdtEndPr>
      <w:sdtContent>
        <w:tr w:rsidR="003D29A2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:rsidR="003D29A2" w:rsidRDefault="003D29A2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:rsidR="003D29A2" w:rsidRDefault="003D29A2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>
                <w:rPr>
                  <w:noProof/>
                </w:rPr>
                <w:t>1</w:t>
              </w:r>
              <w:r>
                <w:fldChar w:fldCharType="end"/>
              </w:r>
            </w:p>
          </w:tc>
        </w:tr>
      </w:sdtContent>
    </w:sdt>
  </w:tbl>
  <w:p w:rsidR="002D69D1" w:rsidRPr="00C73BFF" w:rsidRDefault="002D69D1" w:rsidP="00C73BF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4F2" w:rsidRDefault="00B064F2" w:rsidP="005E2EFB">
      <w:pPr>
        <w:spacing w:after="0" w:line="240" w:lineRule="auto"/>
      </w:pPr>
      <w:r>
        <w:separator/>
      </w:r>
    </w:p>
  </w:footnote>
  <w:footnote w:type="continuationSeparator" w:id="0">
    <w:p w:rsidR="00B064F2" w:rsidRDefault="00B064F2" w:rsidP="005E2EFB">
      <w:pPr>
        <w:spacing w:after="0" w:line="240" w:lineRule="auto"/>
      </w:pPr>
      <w:r>
        <w:continuationSeparator/>
      </w:r>
    </w:p>
  </w:footnote>
  <w:footnote w:id="1">
    <w:p w:rsidR="00F20F36" w:rsidRDefault="00F20F36">
      <w:pPr>
        <w:pStyle w:val="Funotentext"/>
      </w:pPr>
      <w:r>
        <w:rPr>
          <w:rStyle w:val="Funotenzeichen"/>
        </w:rPr>
        <w:footnoteRef/>
      </w:r>
      <w:r>
        <w:t xml:space="preserve"> Vgl. Kernlehrplan für das Gymnasium – Sekundarstufe I (G8) in NRW. Mathematik, MSW 2007, </w:t>
      </w:r>
      <w:r w:rsidR="002E1C96">
        <w:t xml:space="preserve"> S. 29</w:t>
      </w:r>
      <w:r>
        <w:t>.</w:t>
      </w:r>
    </w:p>
  </w:footnote>
  <w:footnote w:id="2">
    <w:p w:rsidR="00194F58" w:rsidRDefault="00194F58">
      <w:pPr>
        <w:pStyle w:val="Funotentext"/>
      </w:pPr>
      <w:r>
        <w:rPr>
          <w:rStyle w:val="Funotenzeichen"/>
        </w:rPr>
        <w:footnoteRef/>
      </w:r>
      <w:r>
        <w:t xml:space="preserve"> Vgl. ebd. S. 14.</w:t>
      </w:r>
    </w:p>
  </w:footnote>
  <w:footnote w:id="3">
    <w:p w:rsidR="00EA0467" w:rsidRDefault="00EA0467">
      <w:pPr>
        <w:pStyle w:val="Funotentext"/>
      </w:pPr>
      <w:r>
        <w:rPr>
          <w:rStyle w:val="Funotenzeichen"/>
        </w:rPr>
        <w:footnoteRef/>
      </w:r>
      <w:r>
        <w:t xml:space="preserve"> Vgl. ebd. S. 21.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E53" w:rsidRDefault="00AC33FC">
    <w:pPr>
      <w:pStyle w:val="Kopfzeile"/>
    </w:pPr>
    <w:r>
      <w:t>B5</w:t>
    </w:r>
    <w:r w:rsidR="00BB14DA" w:rsidRPr="00BB14DA">
      <w:t xml:space="preserve"> </w:t>
    </w:r>
    <w:r w:rsidR="00BB14DA">
      <w:tab/>
    </w:r>
    <w:r w:rsidR="003D29A2">
      <w:t>Argumentieren mit der Flächeninhaltsformel</w:t>
    </w:r>
    <w:r>
      <w:tab/>
    </w:r>
    <w:r w:rsidR="002E2E53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E53" w:rsidRDefault="008E5841">
    <w:pPr>
      <w:pStyle w:val="Kopfzeile"/>
    </w:pPr>
    <w:r>
      <w:t>B5</w:t>
    </w:r>
    <w:r w:rsidR="00BB14DA">
      <w:tab/>
      <w:t>Mithilfe der Flächeninhaltsformel argumentieren</w:t>
    </w:r>
    <w:r w:rsidR="002E2E53">
      <w:tab/>
    </w:r>
    <w:r w:rsidR="002E2E53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1CBF"/>
    <w:multiLevelType w:val="hybridMultilevel"/>
    <w:tmpl w:val="DE1C6318"/>
    <w:lvl w:ilvl="0" w:tplc="FBC8BD3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AEA3631"/>
    <w:multiLevelType w:val="hybridMultilevel"/>
    <w:tmpl w:val="3470356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3476"/>
    <w:rsid w:val="000039C3"/>
    <w:rsid w:val="00082FBF"/>
    <w:rsid w:val="000D5E59"/>
    <w:rsid w:val="00116268"/>
    <w:rsid w:val="001331A8"/>
    <w:rsid w:val="00165730"/>
    <w:rsid w:val="00166546"/>
    <w:rsid w:val="001842A0"/>
    <w:rsid w:val="00194F58"/>
    <w:rsid w:val="001C6D2F"/>
    <w:rsid w:val="002110DB"/>
    <w:rsid w:val="0023184E"/>
    <w:rsid w:val="00244169"/>
    <w:rsid w:val="002D69D1"/>
    <w:rsid w:val="002E1C96"/>
    <w:rsid w:val="002E2E53"/>
    <w:rsid w:val="002E3177"/>
    <w:rsid w:val="00346AB4"/>
    <w:rsid w:val="00382F1E"/>
    <w:rsid w:val="003D29A2"/>
    <w:rsid w:val="003E1042"/>
    <w:rsid w:val="005300F4"/>
    <w:rsid w:val="00570FB4"/>
    <w:rsid w:val="00590668"/>
    <w:rsid w:val="005E2EFB"/>
    <w:rsid w:val="00600BE3"/>
    <w:rsid w:val="00660A83"/>
    <w:rsid w:val="00725838"/>
    <w:rsid w:val="007452F4"/>
    <w:rsid w:val="0079582D"/>
    <w:rsid w:val="007D07DA"/>
    <w:rsid w:val="00800DC0"/>
    <w:rsid w:val="00815098"/>
    <w:rsid w:val="00816BAE"/>
    <w:rsid w:val="00825C58"/>
    <w:rsid w:val="008262A6"/>
    <w:rsid w:val="0083508B"/>
    <w:rsid w:val="00836B38"/>
    <w:rsid w:val="00861E61"/>
    <w:rsid w:val="008E5841"/>
    <w:rsid w:val="008E5E67"/>
    <w:rsid w:val="0092748A"/>
    <w:rsid w:val="009A2C63"/>
    <w:rsid w:val="009F341B"/>
    <w:rsid w:val="00A7062A"/>
    <w:rsid w:val="00A73476"/>
    <w:rsid w:val="00AA083A"/>
    <w:rsid w:val="00AC33FC"/>
    <w:rsid w:val="00B064F2"/>
    <w:rsid w:val="00B102C8"/>
    <w:rsid w:val="00BA4C00"/>
    <w:rsid w:val="00BB14DA"/>
    <w:rsid w:val="00BF47EF"/>
    <w:rsid w:val="00C51E44"/>
    <w:rsid w:val="00C73BFF"/>
    <w:rsid w:val="00C91D86"/>
    <w:rsid w:val="00CF6CC9"/>
    <w:rsid w:val="00D050A2"/>
    <w:rsid w:val="00D83B2B"/>
    <w:rsid w:val="00DC199F"/>
    <w:rsid w:val="00DE260E"/>
    <w:rsid w:val="00E71EA6"/>
    <w:rsid w:val="00E90E3B"/>
    <w:rsid w:val="00EA0467"/>
    <w:rsid w:val="00EA6EBA"/>
    <w:rsid w:val="00EB08C0"/>
    <w:rsid w:val="00EB2F32"/>
    <w:rsid w:val="00EF4EDD"/>
    <w:rsid w:val="00F20F36"/>
    <w:rsid w:val="00FB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262A6"/>
    <w:pPr>
      <w:spacing w:after="240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60A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60A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E2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E2EFB"/>
  </w:style>
  <w:style w:type="paragraph" w:styleId="Fuzeile">
    <w:name w:val="footer"/>
    <w:basedOn w:val="Standard"/>
    <w:link w:val="FuzeileZchn"/>
    <w:uiPriority w:val="99"/>
    <w:unhideWhenUsed/>
    <w:rsid w:val="005E2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2EFB"/>
  </w:style>
  <w:style w:type="paragraph" w:styleId="Titel">
    <w:name w:val="Title"/>
    <w:basedOn w:val="Standard"/>
    <w:next w:val="Standard"/>
    <w:link w:val="TitelZchn"/>
    <w:uiPriority w:val="10"/>
    <w:qFormat/>
    <w:rsid w:val="008262A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="Arial"/>
      <w:color w:val="17365D" w:themeColor="text2" w:themeShade="BF"/>
      <w:spacing w:val="5"/>
      <w:kern w:val="28"/>
      <w:sz w:val="4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262A6"/>
    <w:rPr>
      <w:rFonts w:eastAsiaTheme="majorEastAsia" w:cs="Arial"/>
      <w:color w:val="17365D" w:themeColor="text2" w:themeShade="BF"/>
      <w:spacing w:val="5"/>
      <w:kern w:val="28"/>
      <w:sz w:val="44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60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60A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3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3BF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A73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166546"/>
    <w:rPr>
      <w:color w:val="808080"/>
    </w:rPr>
  </w:style>
  <w:style w:type="paragraph" w:styleId="Listenabsatz">
    <w:name w:val="List Paragraph"/>
    <w:basedOn w:val="Standard"/>
    <w:uiPriority w:val="34"/>
    <w:qFormat/>
    <w:rsid w:val="00590668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0D5E5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D5E5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D5E5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D5E5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D5E59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unhideWhenUsed/>
    <w:qFormat/>
    <w:rsid w:val="0024416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244169"/>
    <w:rPr>
      <w:rFonts w:ascii="Times New Roman" w:hAnsi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4416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262A6"/>
    <w:pPr>
      <w:spacing w:after="240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60A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60A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E2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E2EFB"/>
  </w:style>
  <w:style w:type="paragraph" w:styleId="Fuzeile">
    <w:name w:val="footer"/>
    <w:basedOn w:val="Standard"/>
    <w:link w:val="FuzeileZchn"/>
    <w:uiPriority w:val="99"/>
    <w:unhideWhenUsed/>
    <w:rsid w:val="005E2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2EFB"/>
  </w:style>
  <w:style w:type="paragraph" w:styleId="Titel">
    <w:name w:val="Title"/>
    <w:basedOn w:val="Standard"/>
    <w:next w:val="Standard"/>
    <w:link w:val="TitelZchn"/>
    <w:uiPriority w:val="10"/>
    <w:qFormat/>
    <w:rsid w:val="008262A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="Arial"/>
      <w:color w:val="17365D" w:themeColor="text2" w:themeShade="BF"/>
      <w:spacing w:val="5"/>
      <w:kern w:val="28"/>
      <w:sz w:val="4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262A6"/>
    <w:rPr>
      <w:rFonts w:eastAsiaTheme="majorEastAsia" w:cs="Arial"/>
      <w:color w:val="17365D" w:themeColor="text2" w:themeShade="BF"/>
      <w:spacing w:val="5"/>
      <w:kern w:val="28"/>
      <w:sz w:val="44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60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60A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3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3BF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A73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166546"/>
    <w:rPr>
      <w:color w:val="808080"/>
    </w:rPr>
  </w:style>
  <w:style w:type="paragraph" w:styleId="Listenabsatz">
    <w:name w:val="List Paragraph"/>
    <w:basedOn w:val="Standard"/>
    <w:uiPriority w:val="34"/>
    <w:qFormat/>
    <w:rsid w:val="005906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5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~1\AppData\Local\Temp\Vorlage%20Arbeitsblatt-8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6C53E-A4F2-4FD5-BE53-9F8151E94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Arbeitsblatt-8.dotx</Template>
  <TotalTime>0</TotalTime>
  <Pages>3</Pages>
  <Words>367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Inklusiver Fachunterricht - Mathematik</dc:title>
  <dc:subject>Wie wichtig ist der rechte Winkel?</dc:subject>
  <dc:creator>MSB-NRW; Christoph</dc:creator>
  <cp:keywords>inklusiver Fachunterricht, Mathematik, rechter Winkel, Lernaufgaben</cp:keywords>
  <cp:lastModifiedBy>Eßer, Susanne</cp:lastModifiedBy>
  <cp:revision>5</cp:revision>
  <cp:lastPrinted>2017-06-08T07:17:00Z</cp:lastPrinted>
  <dcterms:created xsi:type="dcterms:W3CDTF">2018-03-15T17:59:00Z</dcterms:created>
  <dcterms:modified xsi:type="dcterms:W3CDTF">2018-07-02T12:22:00Z</dcterms:modified>
</cp:coreProperties>
</file>