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FB" w:rsidRPr="008262A6" w:rsidRDefault="005945FA" w:rsidP="008262A6">
      <w:pPr>
        <w:pStyle w:val="Titel"/>
      </w:pPr>
      <w:r>
        <w:t>Beweis zum Satz des Pythagoras</w:t>
      </w:r>
    </w:p>
    <w:p w:rsidR="005945FA" w:rsidRDefault="002C0883" w:rsidP="005945FA">
      <w:r>
        <w:t xml:space="preserve">Kaum ein Lehrsatz der Mathematik </w:t>
      </w:r>
      <w:r w:rsidR="005945FA">
        <w:t>/ Geometrie ist so berühmt geworden wie der nach Pythagoras benannte Satz über bestimmte Flächen am rechtwinkligen Dreieck:</w:t>
      </w:r>
    </w:p>
    <w:p w:rsidR="005945FA" w:rsidRDefault="00DF6A75" w:rsidP="005945FA">
      <w:r>
        <w:rPr>
          <w:noProof/>
          <w:lang w:eastAsia="de-DE"/>
        </w:rPr>
      </w:r>
      <w:r>
        <w:rPr>
          <w:noProof/>
          <w:lang w:eastAsia="de-DE"/>
        </w:rPr>
        <w:pict>
          <v:group id="Gruppieren 1" o:spid="_x0000_s1026" style="width:441pt;height:129.75pt;mso-position-horizontal-relative:char;mso-position-vertical-relative:line" coordsize="56007,1648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2551;top:318;width:29642;height:159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mOsQA&#10;AADaAAAADwAAAGRycy9kb3ducmV2LnhtbESPQWvCQBSE74X+h+UVvJmNIsGmriItiheRxpL2+Jp9&#10;TUKzb0N2NdFf7xaEHoeZ+YZZrAbTiDN1rrasYBLFIIgLq2suFXwcN+M5COeRNTaWScGFHKyWjw8L&#10;TLXt+Z3OmS9FgLBLUUHlfZtK6YqKDLrItsTB+7GdQR9kV0rdYR/gppHTOE6kwZrDQoUtvVZU/GYn&#10;o8AVcZIfZln++S23dH3W+u1ru1dq9DSsX0B4Gvx/+N7eaQVT+LsSb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4JjrEAAAA2gAAAA8AAAAAAAAAAAAAAAAAmAIAAGRycy9k&#10;b3ducmV2LnhtbFBLBQYAAAAABAAEAPUAAACJAwAAAAA=&#10;" strokecolor="white [3212]">
              <v:textbox>
                <w:txbxContent>
                  <w:p w:rsidR="005945FA" w:rsidRPr="007307BC" w:rsidRDefault="005945FA" w:rsidP="005945FA">
                    <w:r w:rsidRPr="007307BC">
                      <w:t xml:space="preserve">In jedem rechtwinkligen Dreieck haben </w:t>
                    </w:r>
                  </w:p>
                  <w:p w:rsidR="005945FA" w:rsidRPr="007307BC" w:rsidRDefault="005945FA" w:rsidP="005945FA">
                    <w:r w:rsidRPr="007307BC">
                      <w:t xml:space="preserve">die Quadrate über den Katheten zusammen </w:t>
                    </w:r>
                  </w:p>
                  <w:p w:rsidR="005945FA" w:rsidRPr="007307BC" w:rsidRDefault="005945FA" w:rsidP="005945FA">
                    <w:r w:rsidRPr="007307BC">
                      <w:t xml:space="preserve">den gleichen Flächeninhalt </w:t>
                    </w:r>
                  </w:p>
                  <w:p w:rsidR="005945FA" w:rsidRPr="007307BC" w:rsidRDefault="005945FA" w:rsidP="005945FA">
                    <w:r w:rsidRPr="007307BC">
                      <w:t>wie das Quadrat über der Hypotenuse.</w:t>
                    </w:r>
                  </w:p>
                  <w:p w:rsidR="005945FA" w:rsidRPr="007307BC" w:rsidRDefault="005945FA" w:rsidP="005945FA"/>
                  <w:p w:rsidR="005945FA" w:rsidRPr="007307BC" w:rsidRDefault="005945FA" w:rsidP="005945FA">
                    <w:r w:rsidRPr="007307BC">
                      <w:t xml:space="preserve">Wenn </w:t>
                    </w:r>
                    <w:r w:rsidRPr="007307BC">
                      <w:rPr>
                        <w:rFonts w:ascii="Symbol" w:hAnsi="Symbol"/>
                      </w:rPr>
                      <w:t></w:t>
                    </w:r>
                    <w:r w:rsidRPr="007307BC">
                      <w:t xml:space="preserve"> der rechte Winkel ist, </w:t>
                    </w:r>
                  </w:p>
                  <w:p w:rsidR="005945FA" w:rsidRPr="007307BC" w:rsidRDefault="005945FA" w:rsidP="005945FA">
                    <w:r w:rsidRPr="007307BC">
                      <w:t>gilt also:</w:t>
                    </w:r>
                  </w:p>
                  <w:p w:rsidR="005945FA" w:rsidRPr="007307BC" w:rsidRDefault="005945FA" w:rsidP="005945FA">
                    <w:r w:rsidRPr="007307BC">
                      <w:t xml:space="preserve">                           </w:t>
                    </w:r>
                    <m:oMath>
                      <m:r>
                        <w:rPr>
                          <w:rFonts w:ascii="Cambria Math" w:hAnsi="Cambria Math"/>
                        </w:rPr>
                        <m:t>a² + b² = c²</m:t>
                      </m:r>
                    </m:oMath>
                  </w:p>
                </w:txbxContent>
              </v:textbox>
            </v:shape>
            <v:group id="Gruppieren 328" o:spid="_x0000_s1028" style="position:absolute;width:56007;height:16480" coordsize="56007,1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29" o:spid="_x0000_s1029" type="#_x0000_t75" style="position:absolute;left:35619;top:366;width:13608;height:15851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37PzDAAAA2gAAAA8AAABkcnMvZG93bnJldi54bWxEj92KwjAUhO8XfIdwBO80VRd/qlFEcNe9&#10;8vcBjs2xLTYntYm2+/ZmQdjLYWa+YebLxhTiSZXLLSvo9yIQxInVOacKzqdNdwLCeWSNhWVS8EsO&#10;lovWxxxjbWs+0PPoUxEg7GJUkHlfxlK6JCODrmdL4uBdbWXQB1mlUldYB7gp5CCKRtJgzmEhw5LW&#10;GSW348MouEzr/aT/vTv9RKP1/fGF4+F0dVGq025WMxCeGv8ffre3WsEn/F0JN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7fs/MMAAADaAAAADwAAAAAAAAAAAAAAAACf&#10;AgAAZHJzL2Rvd25yZXYueG1sUEsFBgAAAAAEAAQA9wAAAI8DAAAAAA==&#10;">
                <v:imagedata r:id="rId8" o:title=""/>
                <v:path arrowok="t"/>
              </v:shape>
              <v:roundrect id="Abgerundetes Rechteck 330" o:spid="_x0000_s1030" style="position:absolute;width:56007;height:1648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LoMQA&#10;AADaAAAADwAAAGRycy9kb3ducmV2LnhtbESPQWvCQBSE74L/YXmFXkQ3FmwkdRUtFMSDoM1Bb8/s&#10;axKafRt3V43/3hUKPQ4z8w0zW3SmEVdyvrasYDxKQBAXVtdcKsi/v4ZTED4ga2wsk4I7eVjM+70Z&#10;ZtreeEfXfShFhLDPUEEVQptJ6YuKDPqRbYmj92OdwRClK6V2eItw08i3JHmXBmuOCxW29FlR8bu/&#10;GAXpdnVaHdJ8c5y6AY6XdlPm7Vmp15du+QEiUBf+w3/ttVYwgeeVe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y6DEAAAA2gAAAA8AAAAAAAAAAAAAAAAAmAIAAGRycy9k&#10;b3ducmV2LnhtbFBLBQYAAAAABAAEAPUAAACJAwAAAAA=&#10;" filled="f" strokecolor="black [3213]"/>
            </v:group>
            <w10:wrap type="none"/>
            <w10:anchorlock/>
          </v:group>
        </w:pict>
      </w:r>
    </w:p>
    <w:p w:rsidR="005945FA" w:rsidRPr="00A53010" w:rsidRDefault="005945FA" w:rsidP="005945FA">
      <w:r>
        <w:t>Führt den Beweis „Stuhl der Braut“ (Euklid</w:t>
      </w:r>
      <w:r>
        <w:rPr>
          <w:rStyle w:val="Funotenzeichen"/>
        </w:rPr>
        <w:footnoteReference w:id="1"/>
      </w:r>
      <w:r>
        <w:t>) selbstständig weiter:</w:t>
      </w:r>
    </w:p>
    <w:p w:rsidR="005945FA" w:rsidRPr="002D2CA8" w:rsidRDefault="005945FA" w:rsidP="005945FA">
      <w:pPr>
        <w:pStyle w:val="berschrift2"/>
      </w:pPr>
      <w:r>
        <w:t>Beweis-Figur</w:t>
      </w:r>
      <w:r w:rsidRPr="002D2CA8">
        <w:t xml:space="preserve"> </w:t>
      </w:r>
      <w:r>
        <w:t>zum „Stuhl der Braut“</w:t>
      </w:r>
    </w:p>
    <w:p w:rsidR="005945FA" w:rsidRDefault="005945FA" w:rsidP="005945FA">
      <w:r w:rsidRPr="00EB0711">
        <w:rPr>
          <w:noProof/>
          <w:lang w:eastAsia="de-DE"/>
        </w:rPr>
        <w:drawing>
          <wp:inline distT="0" distB="0" distL="0" distR="0">
            <wp:extent cx="1927860" cy="1249679"/>
            <wp:effectExtent l="0" t="0" r="0" b="825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26830" t="53223" r="40693" b="9948"/>
                    <a:stretch/>
                  </pic:blipFill>
                  <pic:spPr bwMode="auto">
                    <a:xfrm>
                      <a:off x="0" y="0"/>
                      <a:ext cx="1929098" cy="1250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EB0711">
        <w:rPr>
          <w:noProof/>
          <w:lang w:eastAsia="de-DE"/>
        </w:rPr>
        <w:drawing>
          <wp:inline distT="0" distB="0" distL="0" distR="0">
            <wp:extent cx="1958339" cy="1257300"/>
            <wp:effectExtent l="0" t="0" r="4445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343" t="52097" r="39666" b="10851"/>
                    <a:stretch/>
                  </pic:blipFill>
                  <pic:spPr bwMode="auto">
                    <a:xfrm>
                      <a:off x="0" y="0"/>
                      <a:ext cx="1959597" cy="125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5FA" w:rsidRDefault="005945FA" w:rsidP="00660A83"/>
    <w:p w:rsidR="005945FA" w:rsidRDefault="005945FA" w:rsidP="00660A83"/>
    <w:p w:rsidR="005945FA" w:rsidRDefault="005945FA" w:rsidP="00660A83"/>
    <w:p w:rsidR="008032AB" w:rsidRDefault="008032AB" w:rsidP="002E2E53"/>
    <w:p w:rsidR="008032AB" w:rsidRDefault="008032AB" w:rsidP="002E2E53"/>
    <w:p w:rsidR="008032AB" w:rsidRDefault="008032AB" w:rsidP="002E2E53"/>
    <w:p w:rsidR="008032AB" w:rsidRDefault="008032AB" w:rsidP="002E2E53"/>
    <w:p w:rsidR="008032AB" w:rsidRDefault="008032AB" w:rsidP="002E2E53"/>
    <w:p w:rsidR="008032AB" w:rsidRDefault="008032AB" w:rsidP="002E2E53"/>
    <w:p w:rsidR="00DF6A75" w:rsidRDefault="00DF6A75" w:rsidP="002E2E53">
      <w:pPr>
        <w:rPr>
          <w:b/>
        </w:rPr>
      </w:pPr>
    </w:p>
    <w:p w:rsidR="008032AB" w:rsidRPr="002B7A7B" w:rsidRDefault="008032AB" w:rsidP="002E2E53">
      <w:pPr>
        <w:rPr>
          <w:b/>
        </w:rPr>
      </w:pPr>
      <w:r w:rsidRPr="002B7A7B">
        <w:rPr>
          <w:b/>
        </w:rPr>
        <w:lastRenderedPageBreak/>
        <w:t>Hinwe</w:t>
      </w:r>
      <w:r w:rsidR="00F65ADD">
        <w:rPr>
          <w:b/>
        </w:rPr>
        <w:t>iskarte 1</w:t>
      </w:r>
      <w:r w:rsidRPr="002B7A7B">
        <w:rPr>
          <w:b/>
        </w:rPr>
        <w:t>:</w:t>
      </w:r>
    </w:p>
    <w:p w:rsidR="008032AB" w:rsidRDefault="008032AB" w:rsidP="002E2E53">
      <w:r>
        <w:t>So geht es weiter…</w:t>
      </w:r>
    </w:p>
    <w:p w:rsidR="002B7A7B" w:rsidRDefault="008032AB" w:rsidP="002E2E53">
      <w:r w:rsidRPr="008032AB">
        <w:rPr>
          <w:noProof/>
          <w:lang w:eastAsia="de-DE"/>
        </w:rPr>
        <w:drawing>
          <wp:inline distT="0" distB="0" distL="0" distR="0">
            <wp:extent cx="1836420" cy="171450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28370" t="33907" r="40693" b="15566"/>
                    <a:stretch/>
                  </pic:blipFill>
                  <pic:spPr bwMode="auto">
                    <a:xfrm>
                      <a:off x="0" y="0"/>
                      <a:ext cx="1837599" cy="1715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A7B" w:rsidRDefault="002B7A7B" w:rsidP="002E2E53"/>
    <w:p w:rsidR="000D72CC" w:rsidRDefault="000D72CC" w:rsidP="002E2E53">
      <w:pPr>
        <w:rPr>
          <w:b/>
        </w:rPr>
      </w:pPr>
    </w:p>
    <w:p w:rsidR="002B7A7B" w:rsidRDefault="00F65ADD" w:rsidP="002E2E53">
      <w:pPr>
        <w:rPr>
          <w:b/>
        </w:rPr>
      </w:pPr>
      <w:r>
        <w:rPr>
          <w:b/>
        </w:rPr>
        <w:t>Hinweiskarte 2:</w:t>
      </w:r>
    </w:p>
    <w:p w:rsidR="000D72CC" w:rsidRDefault="000D72CC" w:rsidP="002E2E53"/>
    <w:p w:rsidR="00783444" w:rsidRDefault="00783444" w:rsidP="002E2E53">
      <w:r w:rsidRPr="00783444">
        <w:t>Denke vom Ziel aus…</w:t>
      </w:r>
    </w:p>
    <w:p w:rsidR="00783444" w:rsidRPr="00783444" w:rsidRDefault="00783444" w:rsidP="002E2E53">
      <w:r>
        <w:t xml:space="preserve">Du möchtest zeigen, dass in jedem rechtwinkligen Dreieck die Summe der Flächeninhalte der </w:t>
      </w:r>
      <w:proofErr w:type="spellStart"/>
      <w:r>
        <w:t>Kathetenquadrate</w:t>
      </w:r>
      <w:proofErr w:type="spellEnd"/>
      <w:r>
        <w:t xml:space="preserve"> dem Flächeninhalt des </w:t>
      </w:r>
      <w:proofErr w:type="spellStart"/>
      <w:r>
        <w:t>Hypotenusenquadrates</w:t>
      </w:r>
      <w:proofErr w:type="spellEnd"/>
      <w:r>
        <w:t xml:space="preserve"> entspricht: </w:t>
      </w:r>
      <w:r w:rsidRPr="000D72CC">
        <w:rPr>
          <w:b/>
        </w:rPr>
        <w:t>a</w:t>
      </w:r>
      <w:r w:rsidRPr="000D72CC">
        <w:rPr>
          <w:b/>
          <w:vertAlign w:val="superscript"/>
        </w:rPr>
        <w:t>2</w:t>
      </w:r>
      <w:r w:rsidRPr="000D72CC">
        <w:rPr>
          <w:b/>
        </w:rPr>
        <w:t xml:space="preserve"> + b</w:t>
      </w:r>
      <w:r w:rsidRPr="000D72CC">
        <w:rPr>
          <w:b/>
          <w:vertAlign w:val="superscript"/>
        </w:rPr>
        <w:t>2</w:t>
      </w:r>
      <w:r w:rsidRPr="000D72CC">
        <w:rPr>
          <w:b/>
        </w:rPr>
        <w:t xml:space="preserve"> = c</w:t>
      </w:r>
      <w:r w:rsidRPr="000D72CC">
        <w:rPr>
          <w:b/>
          <w:vertAlign w:val="superscript"/>
        </w:rPr>
        <w:t>2</w:t>
      </w:r>
    </w:p>
    <w:p w:rsidR="000D72CC" w:rsidRDefault="000D72CC" w:rsidP="002E2E53">
      <w:pPr>
        <w:rPr>
          <w:b/>
        </w:rPr>
      </w:pPr>
    </w:p>
    <w:p w:rsidR="000D72CC" w:rsidRDefault="000D72CC" w:rsidP="002E2E53">
      <w:pPr>
        <w:rPr>
          <w:b/>
        </w:rPr>
      </w:pPr>
    </w:p>
    <w:p w:rsidR="002B7A7B" w:rsidRPr="002B7A7B" w:rsidRDefault="00F65ADD" w:rsidP="002E2E53">
      <w:pPr>
        <w:rPr>
          <w:b/>
        </w:rPr>
      </w:pPr>
      <w:r>
        <w:rPr>
          <w:b/>
        </w:rPr>
        <w:t>Kontrollkarte</w:t>
      </w:r>
      <w:r w:rsidR="002B7A7B" w:rsidRPr="002B7A7B">
        <w:rPr>
          <w:b/>
        </w:rPr>
        <w:t>:</w:t>
      </w:r>
    </w:p>
    <w:p w:rsidR="002B7A7B" w:rsidRDefault="002B7A7B" w:rsidP="002E2E53">
      <w:r>
        <w:t>…und fertig ist das Puzzle.</w:t>
      </w:r>
    </w:p>
    <w:p w:rsidR="00D83B2B" w:rsidRPr="00A926A1" w:rsidRDefault="002B7A7B" w:rsidP="002E2E53">
      <w:pPr>
        <w:sectPr w:rsidR="00D83B2B" w:rsidRPr="00A926A1" w:rsidSect="005E2EFB"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2B7A7B">
        <w:rPr>
          <w:noProof/>
          <w:lang w:eastAsia="de-DE"/>
        </w:rPr>
        <w:drawing>
          <wp:inline distT="0" distB="0" distL="0" distR="0">
            <wp:extent cx="1973580" cy="1676400"/>
            <wp:effectExtent l="0" t="0" r="762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l="27985" t="35037" r="38734" b="15510"/>
                    <a:stretch/>
                  </pic:blipFill>
                  <pic:spPr bwMode="auto">
                    <a:xfrm>
                      <a:off x="0" y="0"/>
                      <a:ext cx="1976830" cy="1679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A83">
        <w:br w:type="page"/>
      </w:r>
    </w:p>
    <w:sdt>
      <w:sdtPr>
        <w:rPr>
          <w:sz w:val="22"/>
        </w:rPr>
        <w:id w:val="417445523"/>
        <w:docPartObj>
          <w:docPartGallery w:val="Cover Pages"/>
          <w:docPartUnique/>
        </w:docPartObj>
      </w:sdtPr>
      <w:sdtEndPr/>
      <w:sdtContent>
        <w:p w:rsidR="002C0883" w:rsidRPr="00DF6A75" w:rsidRDefault="002C0883" w:rsidP="002C0883">
          <w:pPr>
            <w:spacing w:after="0"/>
            <w:rPr>
              <w:sz w:val="22"/>
            </w:rPr>
          </w:pPr>
        </w:p>
        <w:p w:rsidR="002C0883" w:rsidRPr="00DF6A75" w:rsidRDefault="002C0883" w:rsidP="002C0883">
          <w:pPr>
            <w:spacing w:after="0"/>
            <w:rPr>
              <w:b/>
              <w:sz w:val="22"/>
            </w:rPr>
          </w:pPr>
          <w:r w:rsidRPr="00DF6A75">
            <w:rPr>
              <w:b/>
              <w:sz w:val="22"/>
            </w:rPr>
            <w:t>Lehrerinformation:</w:t>
          </w:r>
        </w:p>
        <w:p w:rsidR="002C0883" w:rsidRPr="00DF6A75" w:rsidRDefault="002C0883" w:rsidP="002C0883">
          <w:pPr>
            <w:spacing w:after="0"/>
            <w:rPr>
              <w:b/>
              <w:sz w:val="22"/>
            </w:rPr>
          </w:pPr>
        </w:p>
        <w:p w:rsidR="002C0883" w:rsidRPr="00DF6A75" w:rsidRDefault="002C0883" w:rsidP="002C0883">
          <w:pPr>
            <w:spacing w:after="0"/>
            <w:rPr>
              <w:sz w:val="22"/>
            </w:rPr>
          </w:pPr>
          <w:r w:rsidRPr="00DF6A75">
            <w:rPr>
              <w:b/>
              <w:sz w:val="22"/>
            </w:rPr>
            <w:t>Quellenangabe:</w:t>
          </w:r>
          <w:r w:rsidRPr="00DF6A75">
            <w:rPr>
              <w:sz w:val="22"/>
            </w:rPr>
            <w:t xml:space="preserve"> </w:t>
          </w:r>
        </w:p>
        <w:p w:rsidR="002C0883" w:rsidRPr="00DF6A75" w:rsidRDefault="002C0883" w:rsidP="002C0883">
          <w:pPr>
            <w:spacing w:after="0"/>
            <w:rPr>
              <w:sz w:val="22"/>
            </w:rPr>
          </w:pPr>
          <w:r w:rsidRPr="00DF6A75">
            <w:rPr>
              <w:sz w:val="22"/>
            </w:rPr>
            <w:t>Eige</w:t>
          </w:r>
          <w:r w:rsidR="00934293" w:rsidRPr="00DF6A75">
            <w:rPr>
              <w:sz w:val="22"/>
            </w:rPr>
            <w:t xml:space="preserve">ne Darstellung in Anlehnung an </w:t>
          </w:r>
          <w:hyperlink r:id="rId16" w:history="1">
            <w:r w:rsidRPr="00DF6A75">
              <w:rPr>
                <w:rStyle w:val="Hyperlink"/>
                <w:sz w:val="22"/>
              </w:rPr>
              <w:t>https://www.schulentwicklung.nrw.de/materialdatenbank/material/view/5006</w:t>
            </w:r>
          </w:hyperlink>
          <w:r w:rsidRPr="00DF6A75">
            <w:rPr>
              <w:sz w:val="22"/>
            </w:rPr>
            <w:t xml:space="preserve">. </w:t>
          </w:r>
        </w:p>
        <w:p w:rsidR="002C0883" w:rsidRPr="00DF6A75" w:rsidRDefault="002C0883" w:rsidP="002C0883">
          <w:pPr>
            <w:spacing w:after="0"/>
            <w:rPr>
              <w:sz w:val="22"/>
            </w:rPr>
          </w:pPr>
          <w:r w:rsidRPr="00DF6A75">
            <w:rPr>
              <w:sz w:val="22"/>
            </w:rPr>
            <w:t>Letzter Zugriff: 27.03.2018.</w:t>
          </w:r>
        </w:p>
        <w:p w:rsidR="002C0883" w:rsidRPr="00DF6A75" w:rsidRDefault="002C0883" w:rsidP="002C0883">
          <w:pPr>
            <w:spacing w:after="0"/>
            <w:rPr>
              <w:sz w:val="22"/>
            </w:rPr>
          </w:pPr>
        </w:p>
        <w:p w:rsidR="002C0883" w:rsidRPr="00DF6A75" w:rsidRDefault="002C0883" w:rsidP="002C0883">
          <w:pPr>
            <w:spacing w:after="0"/>
            <w:rPr>
              <w:sz w:val="22"/>
            </w:rPr>
          </w:pPr>
          <w:r w:rsidRPr="00DF6A75">
            <w:rPr>
              <w:b/>
              <w:sz w:val="22"/>
            </w:rPr>
            <w:t>Zielgruppe:</w:t>
          </w:r>
          <w:r w:rsidRPr="00DF6A75">
            <w:rPr>
              <w:sz w:val="22"/>
            </w:rPr>
            <w:t xml:space="preserve"> Schülerinnen und Schüler im Bildungsgang Gymnasium</w:t>
          </w:r>
        </w:p>
        <w:p w:rsidR="002C0883" w:rsidRPr="00DF6A75" w:rsidRDefault="002C0883" w:rsidP="002C0883">
          <w:pPr>
            <w:spacing w:after="0"/>
            <w:rPr>
              <w:sz w:val="22"/>
            </w:rPr>
          </w:pPr>
        </w:p>
        <w:p w:rsidR="00660A83" w:rsidRPr="00DF6A75" w:rsidRDefault="002C0883" w:rsidP="002C0883">
          <w:pPr>
            <w:spacing w:after="0"/>
            <w:rPr>
              <w:sz w:val="22"/>
            </w:rPr>
          </w:pPr>
          <w:r w:rsidRPr="00DF6A75">
            <w:rPr>
              <w:sz w:val="22"/>
            </w:rPr>
            <w:t xml:space="preserve">Informationen zu </w:t>
          </w:r>
          <w:r w:rsidRPr="00DF6A75">
            <w:rPr>
              <w:b/>
              <w:sz w:val="22"/>
            </w:rPr>
            <w:t>Kompetenzerwartungen</w:t>
          </w:r>
          <w:r w:rsidRPr="00DF6A75">
            <w:rPr>
              <w:sz w:val="22"/>
            </w:rPr>
            <w:t xml:space="preserve"> und dem </w:t>
          </w:r>
          <w:r w:rsidRPr="00DF6A75">
            <w:rPr>
              <w:b/>
              <w:sz w:val="22"/>
            </w:rPr>
            <w:t>Bezug zum Kernlehrplan</w:t>
          </w:r>
          <w:r w:rsidRPr="00DF6A75">
            <w:rPr>
              <w:sz w:val="22"/>
            </w:rPr>
            <w:t xml:space="preserve"> sowie </w:t>
          </w:r>
          <w:r w:rsidRPr="00DF6A75">
            <w:rPr>
              <w:b/>
              <w:sz w:val="22"/>
            </w:rPr>
            <w:t>didaktische Hinweise</w:t>
          </w:r>
          <w:r w:rsidRPr="00DF6A75">
            <w:rPr>
              <w:sz w:val="22"/>
            </w:rPr>
            <w:t xml:space="preserve"> zum Einsatz des Materials im Unterricht befinden sich im Überblick über das Vorhaben „UV 9.6 Wie wichtig ist der rechte Winkel? – Die Sätze von Pythagoras und Thales beweisen und anwenden“ unter dem oben angegebenen Link.</w:t>
          </w:r>
          <w:r w:rsidR="000D72CC" w:rsidRPr="00DF6A75">
            <w:rPr>
              <w:sz w:val="22"/>
            </w:rPr>
            <w:t xml:space="preserve"> Es handelt sich bei dem vorliegenden Material</w:t>
          </w:r>
          <w:r w:rsidR="00934293" w:rsidRPr="00DF6A75">
            <w:rPr>
              <w:sz w:val="22"/>
            </w:rPr>
            <w:t xml:space="preserve"> um eine Überarbeitung des Originals, das insbesondere zur Förderung leistungsstarker Schülerinnen und Schüler genutzt werden kann. Im Gegensatz zum Original wird hier nur der Ansatz der Beweis-Figur gegeben, der </w:t>
          </w:r>
          <w:r w:rsidR="007E388E" w:rsidRPr="00DF6A75">
            <w:rPr>
              <w:sz w:val="22"/>
            </w:rPr>
            <w:t>Beweis im eigentlichen Sinne ist von den Schülerinnen und Schülern selbststän</w:t>
          </w:r>
          <w:r w:rsidR="00F65ADD" w:rsidRPr="00DF6A75">
            <w:rPr>
              <w:sz w:val="22"/>
            </w:rPr>
            <w:t>dig zu führen. Bei Bedarf können die Hinweiskarten</w:t>
          </w:r>
          <w:r w:rsidR="007E388E" w:rsidRPr="00DF6A75">
            <w:rPr>
              <w:sz w:val="22"/>
            </w:rPr>
            <w:t xml:space="preserve"> zur </w:t>
          </w:r>
          <w:r w:rsidR="007E388E" w:rsidRPr="00DF6A75">
            <w:rPr>
              <w:b/>
              <w:sz w:val="22"/>
            </w:rPr>
            <w:t>Differenzierung</w:t>
          </w:r>
          <w:r w:rsidR="007E388E" w:rsidRPr="00DF6A75">
            <w:rPr>
              <w:sz w:val="22"/>
            </w:rPr>
            <w:t xml:space="preserve"> eingesetzt werden.</w:t>
          </w:r>
          <w:r w:rsidR="00934293" w:rsidRPr="00DF6A75">
            <w:rPr>
              <w:sz w:val="22"/>
            </w:rPr>
            <w:t xml:space="preserve"> </w:t>
          </w:r>
        </w:p>
      </w:sdtContent>
    </w:sdt>
    <w:p w:rsidR="005E2EFB" w:rsidRPr="00DF6A75" w:rsidRDefault="005E2EFB" w:rsidP="002C0883">
      <w:pPr>
        <w:spacing w:after="0"/>
        <w:rPr>
          <w:sz w:val="22"/>
        </w:rPr>
      </w:pPr>
    </w:p>
    <w:p w:rsidR="005E2EFB" w:rsidRDefault="005E2EFB" w:rsidP="002C0883">
      <w:pPr>
        <w:spacing w:after="0"/>
      </w:pPr>
      <w:bookmarkStart w:id="0" w:name="_GoBack"/>
      <w:bookmarkEnd w:id="0"/>
    </w:p>
    <w:sectPr w:rsidR="005E2EFB" w:rsidSect="005E2EF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D0" w:rsidRDefault="008B20D0" w:rsidP="005E2EFB">
      <w:pPr>
        <w:spacing w:after="0" w:line="240" w:lineRule="auto"/>
      </w:pPr>
      <w:r>
        <w:separator/>
      </w:r>
    </w:p>
  </w:endnote>
  <w:endnote w:type="continuationSeparator" w:id="0">
    <w:p w:rsidR="008B20D0" w:rsidRDefault="008B20D0" w:rsidP="005E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FB" w:rsidRPr="00A926A1" w:rsidRDefault="00DF6A75" w:rsidP="007D07DA">
    <w:pPr>
      <w:pStyle w:val="Fuzeile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BA5A74">
      <w:rPr>
        <w:noProof/>
        <w:sz w:val="16"/>
      </w:rPr>
      <w:t>C5 - Den Satz des Pythagoras selbstständig beweisen.docx</w:t>
    </w:r>
    <w:r>
      <w:rPr>
        <w:noProof/>
        <w:sz w:val="16"/>
      </w:rPr>
      <w:fldChar w:fldCharType="end"/>
    </w:r>
    <w:r w:rsidR="005E2EFB" w:rsidRPr="00A926A1">
      <w:rPr>
        <w:sz w:val="16"/>
      </w:rPr>
      <w:tab/>
    </w:r>
    <w:r w:rsidR="007D07DA" w:rsidRPr="00A926A1">
      <w:rPr>
        <w:sz w:val="16"/>
      </w:rPr>
      <w:t>QUA-LiS.NRW</w:t>
    </w:r>
    <w:r w:rsidR="008262A6" w:rsidRPr="00A926A1">
      <w:rPr>
        <w:sz w:val="16"/>
      </w:rPr>
      <w:tab/>
    </w:r>
    <w:r w:rsidR="00660A83" w:rsidRPr="00A926A1">
      <w:rPr>
        <w:sz w:val="16"/>
      </w:rPr>
      <w:t xml:space="preserve">Seite </w:t>
    </w:r>
    <w:r w:rsidR="00376152" w:rsidRPr="00A926A1">
      <w:rPr>
        <w:sz w:val="16"/>
      </w:rPr>
      <w:fldChar w:fldCharType="begin"/>
    </w:r>
    <w:r w:rsidR="00660A83" w:rsidRPr="00A926A1">
      <w:rPr>
        <w:sz w:val="16"/>
      </w:rPr>
      <w:instrText xml:space="preserve"> PAGE   \* MERGEFORMAT </w:instrText>
    </w:r>
    <w:r w:rsidR="00376152" w:rsidRPr="00A926A1">
      <w:rPr>
        <w:sz w:val="16"/>
      </w:rPr>
      <w:fldChar w:fldCharType="separate"/>
    </w:r>
    <w:r>
      <w:rPr>
        <w:noProof/>
        <w:sz w:val="16"/>
      </w:rPr>
      <w:t>2</w:t>
    </w:r>
    <w:r w:rsidR="00376152" w:rsidRPr="00A926A1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D1" w:rsidRPr="007B4B3B" w:rsidRDefault="00DF6A75" w:rsidP="007B4B3B">
    <w:pPr>
      <w:pStyle w:val="Fuzeile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BA5A74">
      <w:rPr>
        <w:noProof/>
        <w:sz w:val="16"/>
      </w:rPr>
      <w:t>C5 - Den Satz des Pythagoras selbstständig beweisen.docx</w:t>
    </w:r>
    <w:r>
      <w:rPr>
        <w:noProof/>
        <w:sz w:val="16"/>
      </w:rPr>
      <w:fldChar w:fldCharType="end"/>
    </w:r>
    <w:r w:rsidR="007B4B3B" w:rsidRPr="007B4B3B">
      <w:rPr>
        <w:sz w:val="16"/>
      </w:rPr>
      <w:t xml:space="preserve"> </w:t>
    </w:r>
    <w:r w:rsidR="007B4B3B" w:rsidRPr="007B4B3B">
      <w:rPr>
        <w:sz w:val="16"/>
      </w:rPr>
      <w:tab/>
      <w:t>QUA-LiS.NRW</w:t>
    </w:r>
    <w:r w:rsidR="007B4B3B" w:rsidRPr="007B4B3B">
      <w:rPr>
        <w:sz w:val="16"/>
      </w:rPr>
      <w:tab/>
      <w:t xml:space="preserve">Seite </w:t>
    </w:r>
    <w:r w:rsidR="00376152" w:rsidRPr="007B4B3B">
      <w:rPr>
        <w:sz w:val="16"/>
      </w:rPr>
      <w:fldChar w:fldCharType="begin"/>
    </w:r>
    <w:r w:rsidR="007B4B3B" w:rsidRPr="007B4B3B">
      <w:rPr>
        <w:sz w:val="16"/>
      </w:rPr>
      <w:instrText xml:space="preserve"> PAGE   \* MERGEFORMAT </w:instrText>
    </w:r>
    <w:r w:rsidR="00376152" w:rsidRPr="007B4B3B">
      <w:rPr>
        <w:sz w:val="16"/>
      </w:rPr>
      <w:fldChar w:fldCharType="separate"/>
    </w:r>
    <w:r w:rsidR="002C0883">
      <w:rPr>
        <w:noProof/>
        <w:sz w:val="16"/>
      </w:rPr>
      <w:t>3</w:t>
    </w:r>
    <w:r w:rsidR="00376152" w:rsidRPr="007B4B3B">
      <w:rPr>
        <w:sz w:val="16"/>
      </w:rPr>
      <w:fldChar w:fldCharType="end"/>
    </w:r>
    <w:r w:rsidR="007B4B3B" w:rsidRPr="007B4B3B">
      <w:rPr>
        <w:sz w:val="16"/>
      </w:rPr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 w:rsidR="002C0883" w:rsidRPr="002C0883">
      <w:rPr>
        <w:noProof/>
        <w:sz w:val="16"/>
      </w:rPr>
      <w:t>3</w:t>
    </w:r>
    <w:r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D1" w:rsidRPr="002C0883" w:rsidRDefault="002D69D1" w:rsidP="002C088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D0" w:rsidRDefault="008B20D0" w:rsidP="005E2EFB">
      <w:pPr>
        <w:spacing w:after="0" w:line="240" w:lineRule="auto"/>
      </w:pPr>
      <w:r>
        <w:separator/>
      </w:r>
    </w:p>
  </w:footnote>
  <w:footnote w:type="continuationSeparator" w:id="0">
    <w:p w:rsidR="008B20D0" w:rsidRDefault="008B20D0" w:rsidP="005E2EFB">
      <w:pPr>
        <w:spacing w:after="0" w:line="240" w:lineRule="auto"/>
      </w:pPr>
      <w:r>
        <w:continuationSeparator/>
      </w:r>
    </w:p>
  </w:footnote>
  <w:footnote w:id="1">
    <w:p w:rsidR="005945FA" w:rsidRDefault="005945FA">
      <w:pPr>
        <w:pStyle w:val="Funotentext"/>
      </w:pPr>
      <w:r>
        <w:rPr>
          <w:rStyle w:val="Funotenzeichen"/>
        </w:rPr>
        <w:footnoteRef/>
      </w:r>
      <w:r>
        <w:t xml:space="preserve"> Euklid von Alexandria, </w:t>
      </w:r>
      <w:r w:rsidRPr="007307BC">
        <w:t>griechischer Mathematiker, wahrsche</w:t>
      </w:r>
      <w:r>
        <w:t>inlich im 3. Jahrhundert v. Chr. gelebt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FB" w:rsidRDefault="00A926A1">
    <w:pPr>
      <w:pStyle w:val="Kopfzeile"/>
    </w:pPr>
    <w:r>
      <w:t>C5</w:t>
    </w:r>
    <w:r w:rsidR="005E2EFB">
      <w:tab/>
    </w:r>
    <w:r w:rsidR="00DF6A75">
      <w:fldChar w:fldCharType="begin"/>
    </w:r>
    <w:r w:rsidR="00DF6A75">
      <w:instrText xml:space="preserve"> STYLEREF</w:instrText>
    </w:r>
    <w:r w:rsidR="00DF6A75">
      <w:instrText xml:space="preserve">  Titel  \* MERGEFORMAT </w:instrText>
    </w:r>
    <w:r w:rsidR="00DF6A75">
      <w:fldChar w:fldCharType="separate"/>
    </w:r>
    <w:r w:rsidR="00DF6A75">
      <w:rPr>
        <w:noProof/>
      </w:rPr>
      <w:t>Beweis zum Satz des Pythagoras</w:t>
    </w:r>
    <w:r w:rsidR="00DF6A75">
      <w:rPr>
        <w:noProof/>
      </w:rPr>
      <w:fldChar w:fldCharType="end"/>
    </w:r>
    <w:r w:rsidR="005E2EF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FB" w:rsidRDefault="005945FA">
    <w:pPr>
      <w:pStyle w:val="Kopfzeile"/>
    </w:pPr>
    <w:r>
      <w:t>C5</w:t>
    </w:r>
    <w:r w:rsidR="002C0883">
      <w:tab/>
      <w:t>Den Satz des Pythagoras selbstständig beweisen</w:t>
    </w:r>
    <w:r w:rsidR="00D83B2B">
      <w:tab/>
    </w:r>
    <w:r w:rsidR="00D83B2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53" w:rsidRDefault="002E2E53">
    <w:pPr>
      <w:pStyle w:val="Kopfzeile"/>
    </w:pPr>
    <w:r>
      <w:t>Matrixeintrag</w:t>
    </w:r>
    <w:r>
      <w:tab/>
    </w:r>
    <w:r w:rsidR="00DF6A75">
      <w:fldChar w:fldCharType="begin"/>
    </w:r>
    <w:r w:rsidR="00DF6A75">
      <w:instrText xml:space="preserve"> STYLEREF  Titel  \* MERGEFORMAT </w:instrText>
    </w:r>
    <w:r w:rsidR="00DF6A75">
      <w:fldChar w:fldCharType="separate"/>
    </w:r>
    <w:r w:rsidR="002C0883">
      <w:rPr>
        <w:noProof/>
      </w:rPr>
      <w:t>Beweis zum Satz des Pythagoras</w:t>
    </w:r>
    <w:r w:rsidR="00DF6A75">
      <w:rPr>
        <w:noProof/>
      </w:rPr>
      <w:fldChar w:fldCharType="end"/>
    </w:r>
    <w:r>
      <w:tab/>
    </w:r>
    <w:r w:rsidRPr="00D83B2B">
      <w:rPr>
        <w:sz w:val="44"/>
        <w:bdr w:val="single" w:sz="4" w:space="0" w:color="auto"/>
      </w:rPr>
      <w:t>L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53" w:rsidRPr="002C0883" w:rsidRDefault="002C0883" w:rsidP="002C0883">
    <w:pPr>
      <w:pStyle w:val="Kopfzeile"/>
    </w:pPr>
    <w:r>
      <w:t>C5</w:t>
    </w:r>
    <w:r>
      <w:tab/>
      <w:t>Den Satz des Pythagoras selbstständig beweisen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5FA"/>
    <w:rsid w:val="000D72CC"/>
    <w:rsid w:val="001842A0"/>
    <w:rsid w:val="001C6D2F"/>
    <w:rsid w:val="002B7A7B"/>
    <w:rsid w:val="002C0883"/>
    <w:rsid w:val="002D69D1"/>
    <w:rsid w:val="002E2E53"/>
    <w:rsid w:val="002E3177"/>
    <w:rsid w:val="00376152"/>
    <w:rsid w:val="00570FB4"/>
    <w:rsid w:val="00583090"/>
    <w:rsid w:val="005945FA"/>
    <w:rsid w:val="005E2EFB"/>
    <w:rsid w:val="00617614"/>
    <w:rsid w:val="00621620"/>
    <w:rsid w:val="00660A83"/>
    <w:rsid w:val="00783444"/>
    <w:rsid w:val="007B4B3B"/>
    <w:rsid w:val="007D07DA"/>
    <w:rsid w:val="007E388E"/>
    <w:rsid w:val="008032AB"/>
    <w:rsid w:val="00816BAE"/>
    <w:rsid w:val="008262A6"/>
    <w:rsid w:val="0083508B"/>
    <w:rsid w:val="00840BEC"/>
    <w:rsid w:val="008732DC"/>
    <w:rsid w:val="008B20D0"/>
    <w:rsid w:val="008E5E67"/>
    <w:rsid w:val="00934293"/>
    <w:rsid w:val="009A2C63"/>
    <w:rsid w:val="00A6546C"/>
    <w:rsid w:val="00A7062A"/>
    <w:rsid w:val="00A926A1"/>
    <w:rsid w:val="00B5312B"/>
    <w:rsid w:val="00BA5A74"/>
    <w:rsid w:val="00CF6CC9"/>
    <w:rsid w:val="00D83B2B"/>
    <w:rsid w:val="00DF6A75"/>
    <w:rsid w:val="00E93743"/>
    <w:rsid w:val="00EB12A9"/>
    <w:rsid w:val="00F65ADD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62A6"/>
    <w:pPr>
      <w:spacing w:after="24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0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0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2EFB"/>
  </w:style>
  <w:style w:type="paragraph" w:styleId="Fuzeile">
    <w:name w:val="footer"/>
    <w:basedOn w:val="Standard"/>
    <w:link w:val="FuzeileZchn"/>
    <w:uiPriority w:val="99"/>
    <w:unhideWhenUsed/>
    <w:rsid w:val="005E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2EFB"/>
  </w:style>
  <w:style w:type="paragraph" w:styleId="Titel">
    <w:name w:val="Title"/>
    <w:basedOn w:val="Standard"/>
    <w:next w:val="Standard"/>
    <w:link w:val="TitelZchn"/>
    <w:uiPriority w:val="10"/>
    <w:qFormat/>
    <w:rsid w:val="00826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="Arial"/>
      <w:color w:val="17365D" w:themeColor="text2" w:themeShade="BF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62A6"/>
    <w:rPr>
      <w:rFonts w:eastAsiaTheme="majorEastAsia" w:cs="Arial"/>
      <w:color w:val="17365D" w:themeColor="text2" w:themeShade="BF"/>
      <w:spacing w:val="5"/>
      <w:kern w:val="28"/>
      <w:sz w:val="44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0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0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45FA"/>
    <w:pPr>
      <w:spacing w:after="120" w:line="240" w:lineRule="auto"/>
      <w:contextualSpacing/>
    </w:pPr>
    <w:rPr>
      <w:sz w:val="1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45FA"/>
    <w:rPr>
      <w:sz w:val="1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5F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945F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45F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945F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C0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62A6"/>
    <w:pPr>
      <w:spacing w:after="24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0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0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2EFB"/>
  </w:style>
  <w:style w:type="paragraph" w:styleId="Fuzeile">
    <w:name w:val="footer"/>
    <w:basedOn w:val="Standard"/>
    <w:link w:val="FuzeileZchn"/>
    <w:uiPriority w:val="99"/>
    <w:unhideWhenUsed/>
    <w:rsid w:val="005E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2EFB"/>
  </w:style>
  <w:style w:type="paragraph" w:styleId="Titel">
    <w:name w:val="Title"/>
    <w:basedOn w:val="Standard"/>
    <w:next w:val="Standard"/>
    <w:link w:val="TitelZchn"/>
    <w:uiPriority w:val="10"/>
    <w:qFormat/>
    <w:rsid w:val="00826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="Arial"/>
      <w:color w:val="17365D" w:themeColor="text2" w:themeShade="BF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62A6"/>
    <w:rPr>
      <w:rFonts w:eastAsiaTheme="majorEastAsia" w:cs="Arial"/>
      <w:color w:val="17365D" w:themeColor="text2" w:themeShade="BF"/>
      <w:spacing w:val="5"/>
      <w:kern w:val="28"/>
      <w:sz w:val="44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0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0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45FA"/>
    <w:pPr>
      <w:spacing w:after="120" w:line="240" w:lineRule="auto"/>
      <w:contextualSpacing/>
    </w:pPr>
    <w:rPr>
      <w:sz w:val="1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45FA"/>
    <w:rPr>
      <w:sz w:val="1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5F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945F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45F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94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schulentwicklung.nrw.de/materialdatenbank/material/view/5006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ss\Inklusion\Vorlage%20Arbeits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BC93-6ED3-45FC-9EB1-CEA7B60C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Arbeitsblatt.dotx</Template>
  <TotalTime>0</TotalTime>
  <Pages>3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Inklusiver Fachunterricht - Mathematik</dc:title>
  <dc:subject>Wie wichtig ist der rechte Winkel?</dc:subject>
  <dc:creator>MSB-NRW; Ross, Joachim</dc:creator>
  <cp:keywords>inklusiver Fachunterricht, Mathematik, rechter Winkel, Lernaufgaben</cp:keywords>
  <cp:lastModifiedBy>Eßer, Susanne</cp:lastModifiedBy>
  <cp:revision>3</cp:revision>
  <cp:lastPrinted>2017-06-08T07:26:00Z</cp:lastPrinted>
  <dcterms:created xsi:type="dcterms:W3CDTF">2018-03-28T17:39:00Z</dcterms:created>
  <dcterms:modified xsi:type="dcterms:W3CDTF">2018-05-07T09:47:00Z</dcterms:modified>
</cp:coreProperties>
</file>