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7036E0" w:rsidP="008262A6">
      <w:pPr>
        <w:pStyle w:val="Titel"/>
      </w:pPr>
      <w:r>
        <w:t>D1.2</w:t>
      </w:r>
      <w:bookmarkStart w:id="0" w:name="_GoBack"/>
      <w:bookmarkEnd w:id="0"/>
      <w:r w:rsidR="00621480">
        <w:t xml:space="preserve"> </w:t>
      </w:r>
      <w:r w:rsidR="002A48E0">
        <w:t>Ich nutze das Knotenseil</w:t>
      </w:r>
    </w:p>
    <w:p w:rsidR="002A48E0" w:rsidRPr="00EB3E7F" w:rsidRDefault="002A48E0" w:rsidP="002A48E0">
      <w:pPr>
        <w:rPr>
          <w:u w:val="single"/>
        </w:rPr>
      </w:pPr>
      <w:r w:rsidRPr="00EB3E7F">
        <w:rPr>
          <w:u w:val="single"/>
        </w:rPr>
        <w:t>Um diese Aufgabe zu lösen, musst du die Aufgabe C1 bearbeitet haben.</w:t>
      </w:r>
    </w:p>
    <w:p w:rsidR="00EB3E7F" w:rsidRDefault="002A48E0" w:rsidP="002A48E0">
      <w:r>
        <w:t>Du brauchst</w:t>
      </w:r>
      <w:r w:rsidR="00EB3E7F">
        <w:t>:</w:t>
      </w:r>
    </w:p>
    <w:p w:rsidR="002A48E0" w:rsidRDefault="002A48E0" w:rsidP="00EB3E7F">
      <w:pPr>
        <w:numPr>
          <w:ilvl w:val="0"/>
          <w:numId w:val="1"/>
        </w:numPr>
        <w:spacing w:after="0"/>
      </w:pPr>
      <w:r>
        <w:t xml:space="preserve">ein Seil, so vorbereitet wie </w:t>
      </w:r>
      <w:r w:rsidR="00EB3E7F">
        <w:t>in Aufgabe C1</w:t>
      </w:r>
    </w:p>
    <w:p w:rsidR="00EB3E7F" w:rsidRDefault="00EB3E7F" w:rsidP="00EB3E7F">
      <w:pPr>
        <w:numPr>
          <w:ilvl w:val="0"/>
          <w:numId w:val="1"/>
        </w:numPr>
        <w:spacing w:after="0"/>
      </w:pPr>
      <w:r>
        <w:t xml:space="preserve">Kreide </w:t>
      </w:r>
    </w:p>
    <w:p w:rsidR="00EB3E7F" w:rsidRDefault="002B6232" w:rsidP="00EB3E7F">
      <w:pPr>
        <w:numPr>
          <w:ilvl w:val="0"/>
          <w:numId w:val="1"/>
        </w:numPr>
        <w:spacing w:after="0"/>
      </w:pPr>
      <w:r>
        <w:t xml:space="preserve">Klebezettel (z.B. </w:t>
      </w:r>
      <w:r w:rsidR="00EB3E7F">
        <w:t xml:space="preserve">Post </w:t>
      </w:r>
      <w:r>
        <w:t>ist)</w:t>
      </w:r>
    </w:p>
    <w:p w:rsidR="00EB3E7F" w:rsidRDefault="002B6232" w:rsidP="00EB3E7F">
      <w:pPr>
        <w:numPr>
          <w:ilvl w:val="0"/>
          <w:numId w:val="1"/>
        </w:numPr>
        <w:spacing w:after="0"/>
      </w:pPr>
      <w:r>
        <w:t>eine Partnerin/</w:t>
      </w:r>
      <w:r w:rsidR="00EB3E7F">
        <w:t>einen Partner</w:t>
      </w:r>
    </w:p>
    <w:p w:rsidR="00EB3E7F" w:rsidRDefault="00EB3E7F" w:rsidP="009F467F"/>
    <w:p w:rsidR="002A48E0" w:rsidRDefault="002A48E0" w:rsidP="009F467F">
      <w:pPr>
        <w:numPr>
          <w:ilvl w:val="0"/>
          <w:numId w:val="3"/>
        </w:numPr>
      </w:pPr>
      <w:r>
        <w:t xml:space="preserve">Gehe auf den Schulhof und </w:t>
      </w:r>
      <w:r w:rsidR="00EB3E7F">
        <w:t xml:space="preserve">zeichne auf den Boden </w:t>
      </w:r>
      <w:r w:rsidR="002B6232">
        <w:t xml:space="preserve">geometrische </w:t>
      </w:r>
      <w:r>
        <w:t>Figuren</w:t>
      </w:r>
      <w:r w:rsidR="002B6232">
        <w:t>, die einen rechten Winkel</w:t>
      </w:r>
      <w:r>
        <w:t xml:space="preserve"> </w:t>
      </w:r>
      <w:r w:rsidR="002B6232">
        <w:t>haben</w:t>
      </w:r>
      <w:r>
        <w:t xml:space="preserve">. Nutze </w:t>
      </w:r>
      <w:r w:rsidR="002B6232">
        <w:t xml:space="preserve">dazu </w:t>
      </w:r>
      <w:r>
        <w:t xml:space="preserve">das </w:t>
      </w:r>
      <w:r w:rsidR="002B6232">
        <w:t>Knotenseil</w:t>
      </w:r>
      <w:r>
        <w:t>.</w:t>
      </w:r>
    </w:p>
    <w:p w:rsidR="002A48E0" w:rsidRDefault="002A48E0" w:rsidP="009F467F">
      <w:pPr>
        <w:numPr>
          <w:ilvl w:val="0"/>
          <w:numId w:val="3"/>
        </w:numPr>
      </w:pPr>
      <w:r>
        <w:t>Finde, überprüfe und markiere rechte Winkel auf dem Schulhof</w:t>
      </w:r>
      <w:r w:rsidR="007B7671">
        <w:t xml:space="preserve"> und im Schulgebäude</w:t>
      </w:r>
      <w:r>
        <w:t>.</w:t>
      </w:r>
    </w:p>
    <w:p w:rsidR="007B7671" w:rsidRDefault="000D4F9B" w:rsidP="009F467F">
      <w:pPr>
        <w:ind w:firstLine="360"/>
      </w:pPr>
      <w:r>
        <w:t>Markiere die rechte</w:t>
      </w:r>
      <w:r w:rsidR="00027CA8">
        <w:t>n</w:t>
      </w:r>
      <w:r w:rsidR="002A48E0">
        <w:t xml:space="preserve"> Winkel </w:t>
      </w:r>
      <w:r w:rsidR="007B7671">
        <w:t>mit dem dir bekannten Zeichen.</w:t>
      </w:r>
    </w:p>
    <w:p w:rsidR="002A48E0" w:rsidRDefault="007B7671" w:rsidP="009F467F">
      <w:pPr>
        <w:ind w:firstLine="360"/>
      </w:pPr>
      <w:r>
        <w:t xml:space="preserve">Nutze </w:t>
      </w:r>
      <w:r w:rsidR="002A48E0">
        <w:t>Kreide</w:t>
      </w:r>
      <w:r>
        <w:t xml:space="preserve">, wenn du Winkel am Boden markierst. </w:t>
      </w:r>
    </w:p>
    <w:p w:rsidR="00660A83" w:rsidRDefault="007B7671" w:rsidP="009F467F">
      <w:pPr>
        <w:ind w:firstLine="360"/>
      </w:pPr>
      <w:r>
        <w:t xml:space="preserve">Nutze </w:t>
      </w:r>
      <w:r w:rsidR="002B6232">
        <w:t>Klebzettel</w:t>
      </w:r>
      <w:r>
        <w:t xml:space="preserve">, wenn du Winkel an </w:t>
      </w:r>
      <w:r w:rsidR="002A48E0">
        <w:t>den Wänden</w:t>
      </w:r>
      <w:r>
        <w:t xml:space="preserve"> markierst.</w:t>
      </w:r>
    </w:p>
    <w:p w:rsidR="00D83B2B" w:rsidRDefault="00D83B2B">
      <w:r>
        <w:br w:type="page"/>
      </w:r>
    </w:p>
    <w:p w:rsidR="00660A83" w:rsidRPr="002B6232" w:rsidRDefault="00660A83" w:rsidP="002B6232">
      <w:pPr>
        <w:rPr>
          <w:b/>
        </w:rPr>
      </w:pPr>
      <w:r w:rsidRPr="002B6232">
        <w:rPr>
          <w:b/>
        </w:rPr>
        <w:lastRenderedPageBreak/>
        <w:t>Lehrerinformation</w:t>
      </w:r>
    </w:p>
    <w:p w:rsidR="009B5062" w:rsidRDefault="005D2912" w:rsidP="009B5062">
      <w:r w:rsidRPr="00414E4E">
        <w:rPr>
          <w:b/>
        </w:rPr>
        <w:t>Zielgruppe:</w:t>
      </w:r>
      <w:r w:rsidR="009B5062">
        <w:t xml:space="preserve"> vorwiegend Schülerinnen und Schüler </w:t>
      </w:r>
      <w:r w:rsidR="003F0297">
        <w:t>in den zieldifferenten Bildungsgängen</w:t>
      </w:r>
    </w:p>
    <w:p w:rsidR="00E95438" w:rsidRDefault="005D2912" w:rsidP="00203145">
      <w:r w:rsidRPr="00414E4E">
        <w:rPr>
          <w:b/>
        </w:rPr>
        <w:t xml:space="preserve">Kompetenzerwartung und Bezug zum Kernlehrplan: </w:t>
      </w:r>
      <w:r w:rsidR="00203145">
        <w:rPr>
          <w:b/>
        </w:rPr>
        <w:br/>
      </w:r>
      <w:r w:rsidR="00E95438">
        <w:t xml:space="preserve">Diese Aufgabe trägt zur Förderung der folgenden Kompetenzen bei, die laut Kernlehrplan für die </w:t>
      </w:r>
      <w:r w:rsidR="00E95438" w:rsidRPr="0047546A">
        <w:rPr>
          <w:b/>
        </w:rPr>
        <w:t>Hauptschule</w:t>
      </w:r>
      <w:r w:rsidR="00E95438">
        <w:t xml:space="preserve"> in NRW am Ende der jeweils angegebenen Jahrgangsstufe erreicht sein sollen, wobei die prozessbezogenen Kompetenzen generell ab Beginn der Jahrgangsstufe 5 gefördert werden.</w:t>
      </w:r>
      <w:r w:rsidR="00E95438">
        <w:rPr>
          <w:rStyle w:val="Funotenzeichen"/>
        </w:rPr>
        <w:footnoteReference w:id="1"/>
      </w:r>
    </w:p>
    <w:p w:rsidR="00E95438" w:rsidRPr="00414E4E" w:rsidRDefault="00E95438" w:rsidP="00E95438">
      <w:pPr>
        <w:spacing w:after="0"/>
        <w:ind w:firstLine="708"/>
        <w:rPr>
          <w:b/>
        </w:rPr>
      </w:pPr>
      <w:r w:rsidRPr="00414E4E">
        <w:rPr>
          <w:b/>
        </w:rPr>
        <w:t>Prozessbezogene Kompetenzen:</w:t>
      </w:r>
    </w:p>
    <w:p w:rsidR="00E95438" w:rsidRDefault="00E95438" w:rsidP="00E95438">
      <w:pPr>
        <w:spacing w:after="0"/>
        <w:ind w:left="708"/>
      </w:pPr>
      <w:r w:rsidRPr="00F40DEB">
        <w:rPr>
          <w:i/>
        </w:rPr>
        <w:t>Modellieren</w:t>
      </w:r>
      <w:r>
        <w:t>: Die Schülerinnen und Schüler übersetzen eine Sachsituation in ein mathematisches Modell und erarbeiten mithilfe mathematischer Kenntnisse und Fertigkeiten eine Lösung innerhalb des mathematischen Modells. Sie beziehen die erarbeitete Lösung wieder auf die Sachsituation.</w:t>
      </w:r>
      <w:r>
        <w:rPr>
          <w:rStyle w:val="Funotenzeichen"/>
        </w:rPr>
        <w:footnoteReference w:id="2"/>
      </w:r>
    </w:p>
    <w:p w:rsidR="00E95438" w:rsidRDefault="00E95438" w:rsidP="00E95438">
      <w:pPr>
        <w:spacing w:after="0"/>
        <w:ind w:left="708"/>
      </w:pPr>
      <w:r w:rsidRPr="005D2912">
        <w:rPr>
          <w:i/>
        </w:rPr>
        <w:t>Problemlösen</w:t>
      </w:r>
      <w:r>
        <w:t>: Die Schülerinnen und Schüler wenden Problemlösestrategien (</w:t>
      </w:r>
      <w:r>
        <w:rPr>
          <w:rFonts w:cs="Calibri"/>
        </w:rPr>
        <w:t>[</w:t>
      </w:r>
      <w:r>
        <w:t>…</w:t>
      </w:r>
      <w:r>
        <w:rPr>
          <w:rFonts w:cs="Calibri"/>
        </w:rPr>
        <w:t>]</w:t>
      </w:r>
      <w:r>
        <w:t xml:space="preserve">systematisches Probieren </w:t>
      </w:r>
      <w:r>
        <w:rPr>
          <w:rFonts w:cs="Calibri"/>
        </w:rPr>
        <w:t>[</w:t>
      </w:r>
      <w:r>
        <w:t>…</w:t>
      </w:r>
      <w:r>
        <w:rPr>
          <w:rFonts w:cs="Calibri"/>
        </w:rPr>
        <w:t>]</w:t>
      </w:r>
      <w:r>
        <w:t>) an.</w:t>
      </w:r>
      <w:r>
        <w:rPr>
          <w:rStyle w:val="Funotenzeichen"/>
        </w:rPr>
        <w:footnoteReference w:id="3"/>
      </w:r>
    </w:p>
    <w:p w:rsidR="00E95438" w:rsidRDefault="00E95438" w:rsidP="00850E57">
      <w:pPr>
        <w:spacing w:after="0"/>
      </w:pPr>
    </w:p>
    <w:p w:rsidR="00850E57" w:rsidRPr="00414E4E" w:rsidRDefault="00E95438" w:rsidP="00414E4E">
      <w:pPr>
        <w:rPr>
          <w:b/>
        </w:rPr>
      </w:pPr>
      <w:r w:rsidRPr="0016165C">
        <w:rPr>
          <w:b/>
        </w:rPr>
        <w:t>Zur Information:</w:t>
      </w:r>
      <w:r>
        <w:rPr>
          <w:b/>
        </w:rPr>
        <w:t xml:space="preserve"> </w:t>
      </w:r>
      <w:r>
        <w:t xml:space="preserve">Einordnung in den Kernlehrplan für das </w:t>
      </w:r>
      <w:r w:rsidRPr="0016165C">
        <w:rPr>
          <w:b/>
        </w:rPr>
        <w:t>Gymnasium</w:t>
      </w:r>
      <w:r>
        <w:t xml:space="preserve"> in NRW</w:t>
      </w:r>
    </w:p>
    <w:p w:rsidR="00850E57" w:rsidRPr="00414E4E" w:rsidRDefault="00850E57" w:rsidP="00850E57">
      <w:pPr>
        <w:spacing w:after="0"/>
        <w:ind w:left="709"/>
        <w:rPr>
          <w:b/>
          <w:u w:val="single"/>
        </w:rPr>
      </w:pPr>
      <w:r w:rsidRPr="00414E4E">
        <w:rPr>
          <w:b/>
          <w:u w:val="single"/>
        </w:rPr>
        <w:t>Prozessbezogene Kompetenzen:</w:t>
      </w:r>
    </w:p>
    <w:p w:rsidR="006830AA" w:rsidRDefault="006830AA" w:rsidP="006830AA">
      <w:pPr>
        <w:spacing w:after="0"/>
        <w:ind w:left="709"/>
      </w:pPr>
      <w:r w:rsidRPr="0047546A">
        <w:t>Kompetenzerwartun</w:t>
      </w:r>
      <w:r>
        <w:t>gen am Ende der Jahrgangsstufe 6</w:t>
      </w:r>
      <w:r w:rsidRPr="0047546A">
        <w:t>:</w:t>
      </w:r>
    </w:p>
    <w:p w:rsidR="006830AA" w:rsidRPr="00414E4E" w:rsidRDefault="006830AA" w:rsidP="00414E4E">
      <w:pPr>
        <w:spacing w:after="0"/>
        <w:ind w:left="708"/>
        <w:rPr>
          <w:rFonts w:asciiTheme="minorHAnsi" w:eastAsiaTheme="minorHAnsi" w:hAnsiTheme="minorHAnsi" w:cstheme="minorBidi"/>
        </w:rPr>
      </w:pPr>
      <w:r w:rsidRPr="00414E4E">
        <w:rPr>
          <w:i/>
        </w:rPr>
        <w:t>Problemlösen:</w:t>
      </w:r>
      <w:r>
        <w:t xml:space="preserve"> </w:t>
      </w:r>
      <w:r>
        <w:rPr>
          <w:rFonts w:asciiTheme="minorHAnsi" w:eastAsiaTheme="minorHAnsi" w:hAnsiTheme="minorHAnsi" w:cstheme="minorBidi"/>
        </w:rPr>
        <w:t>Die Schülerinnen und Schüler nutzen elementare mathematische Regeln und Verfahren (Messen, Rechnen, Schließen) zum Lösen von anschaulichen Alltagsproblemen.</w:t>
      </w:r>
      <w:r>
        <w:rPr>
          <w:rStyle w:val="Funotenzeichen"/>
          <w:rFonts w:asciiTheme="minorHAnsi" w:eastAsiaTheme="minorHAnsi" w:hAnsiTheme="minorHAnsi" w:cstheme="minorBidi"/>
        </w:rPr>
        <w:footnoteReference w:id="4"/>
      </w:r>
    </w:p>
    <w:p w:rsidR="006830AA" w:rsidRPr="00EB79FF" w:rsidRDefault="006830AA" w:rsidP="006830AA">
      <w:pPr>
        <w:spacing w:after="0"/>
        <w:ind w:left="709"/>
      </w:pPr>
      <w:r w:rsidRPr="0047546A">
        <w:t>Kompetenzerwartungen am Ende der Jahrgangsstufe 9:</w:t>
      </w:r>
    </w:p>
    <w:p w:rsidR="006830AA" w:rsidRDefault="006830AA" w:rsidP="006830AA">
      <w:pPr>
        <w:spacing w:after="0"/>
        <w:ind w:left="709"/>
      </w:pPr>
      <w:r w:rsidRPr="00602908">
        <w:rPr>
          <w:i/>
          <w:u w:val="single"/>
        </w:rPr>
        <w:t>Modellieren:</w:t>
      </w:r>
      <w:r w:rsidRPr="00EF4EDD">
        <w:rPr>
          <w:u w:val="single"/>
        </w:rPr>
        <w:t xml:space="preserve"> </w:t>
      </w:r>
      <w:r w:rsidRPr="00ED74A8">
        <w:rPr>
          <w:u w:val="single"/>
        </w:rPr>
        <w:t>Die</w:t>
      </w:r>
      <w:r w:rsidRPr="00EF4EDD">
        <w:t xml:space="preserve"> Schülerinnen u</w:t>
      </w:r>
      <w:r>
        <w:t>nd Schüler</w:t>
      </w:r>
      <w:r w:rsidRPr="00ED74A8">
        <w:rPr>
          <w:rFonts w:asciiTheme="minorHAnsi" w:eastAsiaTheme="minorHAnsi" w:hAnsiTheme="minorHAnsi" w:cstheme="minorBidi"/>
        </w:rPr>
        <w:t xml:space="preserve"> </w:t>
      </w:r>
      <w:r>
        <w:rPr>
          <w:rFonts w:asciiTheme="minorHAnsi" w:eastAsiaTheme="minorHAnsi" w:hAnsiTheme="minorHAnsi" w:cstheme="minorBidi"/>
        </w:rPr>
        <w:t xml:space="preserve">nutzen Mathematik als Werkzeug zum Erfassen von Phänomenen der realen Welt, indem </w:t>
      </w:r>
      <w:r>
        <w:t xml:space="preserve">sie Realsituationen in mathematische Modelle </w:t>
      </w:r>
      <w:r>
        <w:rPr>
          <w:rFonts w:cs="Calibri"/>
        </w:rPr>
        <w:t>[</w:t>
      </w:r>
      <w:r>
        <w:t>…</w:t>
      </w:r>
      <w:r>
        <w:rPr>
          <w:rFonts w:cs="Calibri"/>
        </w:rPr>
        <w:t>]</w:t>
      </w:r>
      <w:r>
        <w:t xml:space="preserve"> übersetzen und mathematischen Modellen passende Realsituationen zuordnen</w:t>
      </w:r>
      <w:r w:rsidRPr="00ED74A8">
        <w:t>.</w:t>
      </w:r>
      <w:r w:rsidRPr="00EF4EDD">
        <w:rPr>
          <w:rStyle w:val="Funotenzeichen"/>
        </w:rPr>
        <w:footnoteReference w:id="5"/>
      </w:r>
      <w:r w:rsidRPr="00ED74A8">
        <w:rPr>
          <w:rFonts w:asciiTheme="minorHAnsi" w:eastAsiaTheme="minorHAnsi" w:hAnsiTheme="minorHAnsi" w:cstheme="minorBidi"/>
        </w:rPr>
        <w:t xml:space="preserve"> </w:t>
      </w:r>
    </w:p>
    <w:p w:rsidR="000D4F9B" w:rsidRPr="00203145" w:rsidRDefault="006830AA" w:rsidP="00203145">
      <w:pPr>
        <w:spacing w:after="0"/>
        <w:ind w:left="708"/>
        <w:rPr>
          <w:rFonts w:asciiTheme="minorHAnsi" w:eastAsiaTheme="minorHAnsi" w:hAnsiTheme="minorHAnsi" w:cstheme="minorBidi"/>
        </w:rPr>
      </w:pPr>
      <w:r w:rsidRPr="00EF4EDD">
        <w:rPr>
          <w:i/>
          <w:u w:val="single"/>
        </w:rPr>
        <w:t>Problemlösen:</w:t>
      </w:r>
      <w:r w:rsidRPr="00ED74A8">
        <w:rPr>
          <w:i/>
          <w:u w:val="single"/>
        </w:rPr>
        <w:t xml:space="preserve"> </w:t>
      </w:r>
      <w:r w:rsidRPr="00EF4EDD">
        <w:t>Die Schüler</w:t>
      </w:r>
      <w:r>
        <w:t xml:space="preserve">innen und Schüler </w:t>
      </w:r>
      <w:r>
        <w:rPr>
          <w:rFonts w:cstheme="minorHAnsi"/>
        </w:rPr>
        <w:t>[</w:t>
      </w:r>
      <w:r>
        <w:t>…</w:t>
      </w:r>
      <w:r>
        <w:rPr>
          <w:rFonts w:cstheme="minorHAnsi"/>
        </w:rPr>
        <w:t>]</w:t>
      </w:r>
      <w:r w:rsidRPr="00ED74A8">
        <w:rPr>
          <w:rFonts w:asciiTheme="minorHAnsi" w:eastAsiaTheme="minorHAnsi" w:hAnsiTheme="minorHAnsi" w:cstheme="minorBidi"/>
        </w:rPr>
        <w:t>nutzen Proble</w:t>
      </w:r>
      <w:r>
        <w:rPr>
          <w:rFonts w:asciiTheme="minorHAnsi" w:eastAsiaTheme="minorHAnsi" w:hAnsiTheme="minorHAnsi" w:cstheme="minorBidi"/>
        </w:rPr>
        <w:t xml:space="preserve">mlösestrategien wie </w:t>
      </w:r>
      <w:r>
        <w:rPr>
          <w:rFonts w:asciiTheme="minorHAnsi" w:eastAsiaTheme="minorHAnsi" w:hAnsiTheme="minorHAnsi" w:cstheme="minorHAnsi"/>
        </w:rPr>
        <w:t>[</w:t>
      </w:r>
      <w:r>
        <w:rPr>
          <w:rFonts w:asciiTheme="minorHAnsi" w:eastAsiaTheme="minorHAnsi" w:hAnsiTheme="minorHAnsi" w:cstheme="minorBidi"/>
        </w:rPr>
        <w:t>…</w:t>
      </w:r>
      <w:r>
        <w:rPr>
          <w:rFonts w:asciiTheme="minorHAnsi" w:eastAsiaTheme="minorHAnsi" w:hAnsiTheme="minorHAnsi" w:cstheme="minorHAnsi"/>
        </w:rPr>
        <w:t>]</w:t>
      </w:r>
      <w:r w:rsidRPr="00ED74A8">
        <w:rPr>
          <w:rFonts w:asciiTheme="minorHAnsi" w:eastAsiaTheme="minorHAnsi" w:hAnsiTheme="minorHAnsi" w:cstheme="minorBidi"/>
        </w:rPr>
        <w:t xml:space="preserve"> Beispiele finden, systematisches</w:t>
      </w:r>
      <w:r w:rsidRPr="00EF4EDD">
        <w:t xml:space="preserve"> </w:t>
      </w:r>
      <w:r>
        <w:rPr>
          <w:rFonts w:asciiTheme="minorHAnsi" w:eastAsiaTheme="minorHAnsi" w:hAnsiTheme="minorHAnsi" w:cstheme="minorBidi"/>
        </w:rPr>
        <w:t xml:space="preserve">Probieren </w:t>
      </w:r>
      <w:r>
        <w:rPr>
          <w:rFonts w:asciiTheme="minorHAnsi" w:eastAsiaTheme="minorHAnsi" w:hAnsiTheme="minorHAnsi" w:cstheme="minorHAnsi"/>
        </w:rPr>
        <w:t>[</w:t>
      </w:r>
      <w:r>
        <w:rPr>
          <w:rFonts w:asciiTheme="minorHAnsi" w:eastAsiaTheme="minorHAnsi" w:hAnsiTheme="minorHAnsi" w:cstheme="minorBidi"/>
        </w:rPr>
        <w:t>…</w:t>
      </w:r>
      <w:r>
        <w:rPr>
          <w:rFonts w:asciiTheme="minorHAnsi" w:eastAsiaTheme="minorHAnsi" w:hAnsiTheme="minorHAnsi" w:cstheme="minorHAnsi"/>
        </w:rPr>
        <w:t>]</w:t>
      </w:r>
      <w:r>
        <w:rPr>
          <w:rFonts w:asciiTheme="minorHAnsi" w:eastAsiaTheme="minorHAnsi" w:hAnsiTheme="minorHAnsi" w:cstheme="minorBidi"/>
        </w:rPr>
        <w:t>.</w:t>
      </w:r>
      <w:r>
        <w:rPr>
          <w:rStyle w:val="Funotenzeichen"/>
          <w:rFonts w:asciiTheme="minorHAnsi" w:eastAsiaTheme="minorHAnsi" w:hAnsiTheme="minorHAnsi" w:cstheme="minorBidi"/>
        </w:rPr>
        <w:footnoteReference w:id="6"/>
      </w:r>
    </w:p>
    <w:p w:rsidR="00761589" w:rsidRPr="00414E4E" w:rsidRDefault="005D2912" w:rsidP="00414E4E">
      <w:pPr>
        <w:spacing w:after="0"/>
        <w:rPr>
          <w:b/>
        </w:rPr>
      </w:pPr>
      <w:r w:rsidRPr="00414E4E">
        <w:rPr>
          <w:b/>
        </w:rPr>
        <w:lastRenderedPageBreak/>
        <w:t>Didaktischer Kommentar:</w:t>
      </w:r>
    </w:p>
    <w:p w:rsidR="002F46CE" w:rsidRDefault="002F46CE" w:rsidP="002F46CE">
      <w:r>
        <w:t>Die Schülerinnen und Schüler sollen erkennen, dass sie mithilfe des Knotenseils rechte Winkel in der Realität erkennen, überprüfen und konstruieren können, indem sie daraus ein rechtwinkliges Dreieck mit den Seitenlängen 3 LE, 4 LE und 5 LE bilden und dieses an den entsprechenden Stellen anlegen. Diese Fähigkeit spielt insbesondere im Handwerk eine bedeutende Rolle</w:t>
      </w:r>
      <w:r w:rsidR="00203145">
        <w:t xml:space="preserve"> z.B. bei der Konstruktion/Anlage von Beeten, dem Bau eines Carports, einer Gartenhütte, dem Legen von Fliesen, Platten</w:t>
      </w:r>
      <w:r>
        <w:t>.</w:t>
      </w:r>
    </w:p>
    <w:p w:rsidR="002F46CE" w:rsidRDefault="00203145" w:rsidP="00414E4E">
      <w:r>
        <w:t xml:space="preserve">Es werden </w:t>
      </w:r>
      <w:r w:rsidRPr="00287B77">
        <w:rPr>
          <w:b/>
        </w:rPr>
        <w:t>Grundvorstellungen</w:t>
      </w:r>
      <w:r>
        <w:t xml:space="preserve"> in den folgenden Bereichen gebildet: </w:t>
      </w:r>
      <w:r w:rsidR="002F46CE">
        <w:t>Winkel, Feld-Vorstellung</w:t>
      </w:r>
    </w:p>
    <w:p w:rsidR="000D4F9B" w:rsidRDefault="000D4F9B" w:rsidP="000D4F9B">
      <w:r>
        <w:t xml:space="preserve">Durch wiederholtes Suchen und Finden von </w:t>
      </w:r>
      <w:r w:rsidR="00F343CA">
        <w:t>r</w:t>
      </w:r>
      <w:r>
        <w:t>echten Winkeln entwickelt sich die  Kategorie „</w:t>
      </w:r>
      <w:r w:rsidR="00F343CA">
        <w:t>r</w:t>
      </w:r>
      <w:r>
        <w:t>echte</w:t>
      </w:r>
      <w:r w:rsidR="00F343CA">
        <w:t>r</w:t>
      </w:r>
      <w:r>
        <w:t xml:space="preserve"> Winkel“ </w:t>
      </w:r>
      <w:r w:rsidR="00F343CA">
        <w:t>bei den Schülerinnen und Schülern</w:t>
      </w:r>
      <w:r>
        <w:t xml:space="preserve">. </w:t>
      </w:r>
      <w:r w:rsidR="00203145">
        <w:t>Sie können</w:t>
      </w:r>
      <w:r>
        <w:t xml:space="preserve"> dadurch ihre Umwelt in strukturierter Art und Weise</w:t>
      </w:r>
      <w:r w:rsidR="00F343CA">
        <w:t xml:space="preserve"> erfassen</w:t>
      </w:r>
      <w:r>
        <w:t>.</w:t>
      </w:r>
    </w:p>
    <w:p w:rsidR="00761589" w:rsidRDefault="000D4F9B" w:rsidP="00414E4E">
      <w:r>
        <w:t>Das wiederholte An</w:t>
      </w:r>
      <w:r w:rsidR="00A50D97">
        <w:t>legen</w:t>
      </w:r>
      <w:r>
        <w:t xml:space="preserve"> des Seils erfordert, dass die Schüler</w:t>
      </w:r>
      <w:r w:rsidR="00F343CA">
        <w:t>innen</w:t>
      </w:r>
      <w:r>
        <w:t xml:space="preserve"> und Schüler d</w:t>
      </w:r>
      <w:r w:rsidR="00850E57">
        <w:t>as</w:t>
      </w:r>
      <w:r>
        <w:t xml:space="preserve"> pythagoreische Zahlentripel „3, 4, 5“ am Seil wiederfinden</w:t>
      </w:r>
      <w:r w:rsidR="00850E57">
        <w:t>.</w:t>
      </w:r>
      <w:r>
        <w:t xml:space="preserve"> </w:t>
      </w:r>
      <w:r w:rsidR="00850E57">
        <w:t>D</w:t>
      </w:r>
      <w:r>
        <w:t>adurch prägen sie sich diese</w:t>
      </w:r>
      <w:r w:rsidR="00850E57">
        <w:t>s besser</w:t>
      </w:r>
      <w:r>
        <w:t xml:space="preserve"> ein.</w:t>
      </w:r>
    </w:p>
    <w:p w:rsidR="00203145" w:rsidRPr="0094467B" w:rsidRDefault="00203145" w:rsidP="00203145">
      <w:pPr>
        <w:pStyle w:val="Aufklapper"/>
        <w:ind w:left="0"/>
        <w:jc w:val="left"/>
        <w:rPr>
          <w:rFonts w:asciiTheme="minorHAnsi" w:eastAsiaTheme="minorHAnsi" w:hAnsiTheme="minorHAnsi" w:cstheme="minorBidi"/>
          <w:color w:val="auto"/>
          <w:sz w:val="24"/>
        </w:rPr>
      </w:pPr>
      <w:r w:rsidRPr="0094467B">
        <w:rPr>
          <w:rFonts w:asciiTheme="minorHAnsi" w:eastAsiaTheme="minorHAnsi" w:hAnsiTheme="minorHAnsi" w:cstheme="minorBidi"/>
          <w:b/>
          <w:color w:val="auto"/>
          <w:sz w:val="24"/>
        </w:rPr>
        <w:t>Entwicklungschancen</w:t>
      </w:r>
      <w:r>
        <w:rPr>
          <w:rFonts w:asciiTheme="minorHAnsi" w:eastAsiaTheme="minorHAnsi" w:hAnsiTheme="minorHAnsi" w:cstheme="minorBidi"/>
          <w:b/>
          <w:color w:val="auto"/>
          <w:sz w:val="24"/>
        </w:rPr>
        <w:t xml:space="preserve"> </w:t>
      </w:r>
      <w:r w:rsidRPr="00203145">
        <w:rPr>
          <w:rFonts w:asciiTheme="minorHAnsi" w:eastAsiaTheme="minorHAnsi" w:hAnsiTheme="minorHAnsi" w:cstheme="minorBidi"/>
          <w:color w:val="auto"/>
          <w:sz w:val="24"/>
        </w:rPr>
        <w:t>(vgl. auch Kommentar zur Aufgabe A1)</w:t>
      </w:r>
      <w:r w:rsidRPr="0094467B">
        <w:rPr>
          <w:rFonts w:asciiTheme="minorHAnsi" w:eastAsiaTheme="minorHAnsi" w:hAnsiTheme="minorHAnsi" w:cstheme="minorBidi"/>
          <w:b/>
          <w:color w:val="auto"/>
          <w:sz w:val="24"/>
        </w:rPr>
        <w:t>:</w:t>
      </w:r>
      <w:r>
        <w:rPr>
          <w:rFonts w:asciiTheme="minorHAnsi" w:eastAsiaTheme="minorHAnsi" w:hAnsiTheme="minorHAnsi" w:cstheme="minorBidi"/>
          <w:b/>
          <w:color w:val="auto"/>
          <w:sz w:val="24"/>
        </w:rPr>
        <w:br/>
      </w:r>
      <w:r w:rsidRPr="0094467B">
        <w:rPr>
          <w:rFonts w:asciiTheme="minorHAnsi" w:eastAsiaTheme="minorHAnsi" w:hAnsiTheme="minorHAnsi" w:cstheme="minorBidi"/>
          <w:color w:val="auto"/>
          <w:sz w:val="24"/>
        </w:rPr>
        <w:t>Im zieldifferenten Lernen kann sowohl ein Zugang über das fachliche Lernen als auch über die Entwicklungschancen gelegt werden.</w:t>
      </w:r>
      <w:r w:rsidRPr="0094467B">
        <w:rPr>
          <w:rFonts w:asciiTheme="minorHAnsi" w:eastAsiaTheme="minorHAnsi" w:hAnsiTheme="minorHAnsi" w:cstheme="minorBidi"/>
          <w:sz w:val="24"/>
        </w:rPr>
        <w:footnoteReference w:id="7"/>
      </w:r>
      <w:r w:rsidRPr="0094467B">
        <w:rPr>
          <w:rFonts w:asciiTheme="minorHAnsi" w:eastAsiaTheme="minorHAnsi" w:hAnsiTheme="minorHAnsi" w:cstheme="minorBidi"/>
          <w:color w:val="auto"/>
          <w:sz w:val="24"/>
        </w:rPr>
        <w:t xml:space="preserve"> </w:t>
      </w:r>
    </w:p>
    <w:p w:rsidR="00203145" w:rsidRDefault="00203145" w:rsidP="00203145">
      <w:r>
        <w:t>Der „rechte Winkel“ ist ein zentraler Begriff bzw. ein Schlüsselbegriff dieses Unterrichtsvorhabens. Entsprechend der Didaktik der Geometrie</w:t>
      </w:r>
      <w:r>
        <w:rPr>
          <w:rStyle w:val="Funotenzeichen"/>
        </w:rPr>
        <w:footnoteReference w:id="8"/>
      </w:r>
      <w:r>
        <w:t xml:space="preserve"> erfolgt das </w:t>
      </w:r>
      <w:r w:rsidRPr="0091281C">
        <w:rPr>
          <w:b/>
        </w:rPr>
        <w:t>Lernen geometrischer Begriffe</w:t>
      </w:r>
      <w:r>
        <w:t xml:space="preserve"> über:</w:t>
      </w:r>
      <w:r>
        <w:br/>
        <w:t>- den Aufbau angemessener Vorstellungen (mentaler Modelle) durch</w:t>
      </w:r>
      <w:r>
        <w:br/>
      </w:r>
      <w:r>
        <w:tab/>
        <w:t>- Handlungen an konkreten Objekten</w:t>
      </w:r>
      <w:r>
        <w:br/>
      </w:r>
      <w:r>
        <w:tab/>
        <w:t>- Wahrnehmungen an Gegenständen und Bildern</w:t>
      </w:r>
      <w:r>
        <w:br/>
      </w:r>
      <w:r>
        <w:tab/>
        <w:t>- Beschreibungen von geometrischen Objekten (z.B. Kopfgeometrie)</w:t>
      </w:r>
      <w:r>
        <w:br/>
        <w:t>- den Erwerb von Kenntnissen durch</w:t>
      </w:r>
      <w:r>
        <w:br/>
      </w:r>
      <w:r>
        <w:tab/>
        <w:t>-Kenntnis charakteristischer Eigenschaften</w:t>
      </w:r>
      <w:r>
        <w:br/>
        <w:t>- die Aneignung von Fähigkeiten durch</w:t>
      </w:r>
      <w:r>
        <w:br/>
      </w:r>
      <w:r>
        <w:tab/>
        <w:t>- Konstruieren von Figuren</w:t>
      </w:r>
      <w:r>
        <w:br/>
      </w:r>
      <w:r>
        <w:tab/>
        <w:t>- Berechnen von Längen, Flächen- &amp; Rauminhalten</w:t>
      </w:r>
      <w:r>
        <w:br/>
      </w:r>
      <w:r>
        <w:tab/>
        <w:t>- Fähigkeit zum Problemlösen.</w:t>
      </w:r>
    </w:p>
    <w:p w:rsidR="00203145" w:rsidRDefault="00203145" w:rsidP="00203145">
      <w:r>
        <w:t xml:space="preserve">Im </w:t>
      </w:r>
      <w:r w:rsidRPr="0091281C">
        <w:rPr>
          <w:b/>
        </w:rPr>
        <w:t>Entwicklungsbereich Kognition/Lernentwicklung</w:t>
      </w:r>
      <w:r>
        <w:t xml:space="preserve"> ist die allgemeine Begriffsbildung verortet. Die Fähigkeit des Denkens erlaubt es den Menschen, Begriffe zu bilden, </w:t>
      </w:r>
      <w:r>
        <w:lastRenderedPageBreak/>
        <w:t>Beziehungen herzustellen, ihre Umwelt zu ordnen sowie Probleme zu lösen. Elementare kognitive Prozesse wie Aufmerksamkeit, Begriffsbildung, Gedächtnis und Problemlösen wirken zusammen und beeinflussen die gesamte Entwicklung des Menschen. Die Bildung von Begriffen hängt  mit der Wortbedeutungsentwicklung zusammen. Begriffsbildung findet auf verschiedenen Stufen statt. Diese reichen von konkretem zu abstraktem und von ganzheitlichem zu analytischem Denken reichen.</w:t>
      </w:r>
      <w:r>
        <w:br/>
        <w:t>Die allgemeine Entwicklung der Begriffsbildung lässt sich hier durch das Lernen des geometrischen Begriffes „rechter Winkel“ konkretisieren.</w:t>
      </w:r>
    </w:p>
    <w:p w:rsidR="00761589" w:rsidRPr="00414E4E" w:rsidRDefault="005D2912" w:rsidP="00203145">
      <w:pPr>
        <w:spacing w:after="0"/>
        <w:rPr>
          <w:b/>
        </w:rPr>
      </w:pPr>
      <w:r w:rsidRPr="00414E4E">
        <w:rPr>
          <w:b/>
        </w:rPr>
        <w:t>Material:</w:t>
      </w:r>
    </w:p>
    <w:p w:rsidR="00761589" w:rsidRDefault="00081864" w:rsidP="00203145">
      <w:r>
        <w:t xml:space="preserve">Knotenseil, Kreide, </w:t>
      </w:r>
      <w:r w:rsidR="00203145">
        <w:t>Klebezettel (</w:t>
      </w:r>
      <w:r>
        <w:t xml:space="preserve">Post </w:t>
      </w:r>
      <w:proofErr w:type="spellStart"/>
      <w:r w:rsidR="00621480">
        <w:t>its</w:t>
      </w:r>
      <w:proofErr w:type="spellEnd"/>
      <w:r w:rsidR="00203145">
        <w:t>)</w:t>
      </w:r>
    </w:p>
    <w:p w:rsidR="005E2EFB" w:rsidRDefault="005E2EFB"/>
    <w:p w:rsidR="005E2EFB" w:rsidRDefault="005E2EFB"/>
    <w:sectPr w:rsidR="005E2EFB" w:rsidSect="00621480">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3D" w:rsidRDefault="00F8673D" w:rsidP="005E2EFB">
      <w:pPr>
        <w:spacing w:after="0" w:line="240" w:lineRule="auto"/>
      </w:pPr>
      <w:r>
        <w:separator/>
      </w:r>
    </w:p>
  </w:endnote>
  <w:endnote w:type="continuationSeparator" w:id="0">
    <w:p w:rsidR="00F8673D" w:rsidRDefault="00F8673D"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43569590"/>
        <w:docPartObj>
          <w:docPartGallery w:val="Page Numbers (Bottom of Page)"/>
          <w:docPartUnique/>
        </w:docPartObj>
      </w:sdtPr>
      <w:sdtEndPr>
        <w:rPr>
          <w:rFonts w:ascii="Calibri" w:eastAsia="Calibri" w:hAnsi="Calibri" w:cs="Times New Roman"/>
          <w:sz w:val="24"/>
          <w:szCs w:val="22"/>
        </w:rPr>
      </w:sdtEndPr>
      <w:sdtContent>
        <w:tr w:rsidR="00621480">
          <w:trPr>
            <w:trHeight w:val="727"/>
          </w:trPr>
          <w:tc>
            <w:tcPr>
              <w:tcW w:w="4000" w:type="pct"/>
              <w:tcBorders>
                <w:right w:val="triple" w:sz="4" w:space="0" w:color="4F81BD" w:themeColor="accent1"/>
              </w:tcBorders>
            </w:tcPr>
            <w:p w:rsidR="00621480" w:rsidRDefault="0062148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21480" w:rsidRDefault="0062148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036E0">
                <w:rPr>
                  <w:noProof/>
                </w:rPr>
                <w:t>1</w:t>
              </w:r>
              <w:r>
                <w:fldChar w:fldCharType="end"/>
              </w:r>
            </w:p>
          </w:tc>
        </w:tr>
      </w:sdtContent>
    </w:sdt>
  </w:tbl>
  <w:p w:rsidR="002D69D1" w:rsidRPr="00C73BFF" w:rsidRDefault="002D69D1" w:rsidP="00C73B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3D" w:rsidRDefault="00F8673D" w:rsidP="005E2EFB">
      <w:pPr>
        <w:spacing w:after="0" w:line="240" w:lineRule="auto"/>
      </w:pPr>
      <w:r>
        <w:separator/>
      </w:r>
    </w:p>
  </w:footnote>
  <w:footnote w:type="continuationSeparator" w:id="0">
    <w:p w:rsidR="00F8673D" w:rsidRDefault="00F8673D" w:rsidP="005E2EFB">
      <w:pPr>
        <w:spacing w:after="0" w:line="240" w:lineRule="auto"/>
      </w:pPr>
      <w:r>
        <w:continuationSeparator/>
      </w:r>
    </w:p>
  </w:footnote>
  <w:footnote w:id="1">
    <w:p w:rsidR="00E95438" w:rsidRPr="002B6232" w:rsidRDefault="00E95438" w:rsidP="00E95438">
      <w:pPr>
        <w:pStyle w:val="Funotentext"/>
        <w:rPr>
          <w:rFonts w:asciiTheme="minorHAnsi" w:hAnsiTheme="minorHAnsi"/>
        </w:rPr>
      </w:pPr>
      <w:r>
        <w:rPr>
          <w:rStyle w:val="Funotenzeichen"/>
        </w:rPr>
        <w:footnoteRef/>
      </w:r>
      <w:r>
        <w:t xml:space="preserve"> </w:t>
      </w:r>
      <w:r w:rsidRPr="002B6232">
        <w:rPr>
          <w:rFonts w:asciiTheme="minorHAnsi" w:hAnsiTheme="minorHAnsi"/>
        </w:rPr>
        <w:t xml:space="preserve">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rsidRPr="002B6232">
        <w:rPr>
          <w:rFonts w:asciiTheme="minorHAnsi" w:hAnsiTheme="minorHAnsi"/>
        </w:rPr>
        <w:br/>
        <w:t>In diesem Zusammenhang ist auch insbesondere der § 32.2  zur Leistungsbewertung wichtig:</w:t>
      </w:r>
    </w:p>
    <w:p w:rsidR="00E95438" w:rsidRPr="002B6232" w:rsidRDefault="00E95438" w:rsidP="00E95438">
      <w:pPr>
        <w:pStyle w:val="Funotentext"/>
        <w:rPr>
          <w:rFonts w:asciiTheme="minorHAnsi" w:hAnsiTheme="minorHAnsi"/>
        </w:rPr>
      </w:pPr>
      <w:r w:rsidRPr="002B6232">
        <w:rPr>
          <w:rFonts w:asciiTheme="minorHAnsi" w:hAnsiTheme="minorHAnsi"/>
        </w:rP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E95438" w:rsidRPr="002B6232" w:rsidRDefault="00E95438" w:rsidP="00E95438">
      <w:pPr>
        <w:pStyle w:val="Funotentext"/>
        <w:rPr>
          <w:rFonts w:asciiTheme="minorHAnsi" w:hAnsiTheme="minorHAnsi"/>
        </w:rPr>
      </w:pPr>
      <w:r w:rsidRPr="002B6232">
        <w:rPr>
          <w:rStyle w:val="Funotenzeichen"/>
          <w:rFonts w:asciiTheme="minorHAnsi" w:hAnsiTheme="minorHAnsi"/>
        </w:rPr>
        <w:footnoteRef/>
      </w:r>
      <w:r w:rsidRPr="002B6232">
        <w:rPr>
          <w:rFonts w:asciiTheme="minorHAnsi" w:hAnsiTheme="minorHAnsi"/>
        </w:rPr>
        <w:t xml:space="preserve"> Vgl. Kernlehrplan und Richtlinien für die Hauptschule in NRW. Mathematik, MSW, 2011, S. 16.</w:t>
      </w:r>
    </w:p>
  </w:footnote>
  <w:footnote w:id="3">
    <w:p w:rsidR="00E95438" w:rsidRPr="002B6232" w:rsidRDefault="00E95438" w:rsidP="00E95438">
      <w:pPr>
        <w:pStyle w:val="Funotentext"/>
        <w:rPr>
          <w:rFonts w:asciiTheme="minorHAnsi" w:hAnsiTheme="minorHAnsi"/>
        </w:rPr>
      </w:pPr>
      <w:r w:rsidRPr="002B6232">
        <w:rPr>
          <w:rStyle w:val="Funotenzeichen"/>
          <w:rFonts w:asciiTheme="minorHAnsi" w:hAnsiTheme="minorHAnsi"/>
        </w:rPr>
        <w:footnoteRef/>
      </w:r>
      <w:r w:rsidR="006830AA" w:rsidRPr="002B6232">
        <w:rPr>
          <w:rFonts w:asciiTheme="minorHAnsi" w:hAnsiTheme="minorHAnsi"/>
        </w:rPr>
        <w:t xml:space="preserve"> Vgl. ebd.</w:t>
      </w:r>
      <w:r w:rsidRPr="002B6232">
        <w:rPr>
          <w:rFonts w:asciiTheme="minorHAnsi" w:hAnsiTheme="minorHAnsi"/>
        </w:rPr>
        <w:t xml:space="preserve"> S. 17.</w:t>
      </w:r>
    </w:p>
  </w:footnote>
  <w:footnote w:id="4">
    <w:p w:rsidR="006830AA" w:rsidRPr="002B6232" w:rsidRDefault="006830AA" w:rsidP="006830AA">
      <w:pPr>
        <w:pStyle w:val="Funotentext"/>
        <w:rPr>
          <w:rFonts w:asciiTheme="minorHAnsi" w:hAnsiTheme="minorHAnsi"/>
        </w:rPr>
      </w:pPr>
      <w:r w:rsidRPr="002B6232">
        <w:rPr>
          <w:rStyle w:val="Funotenzeichen"/>
          <w:rFonts w:asciiTheme="minorHAnsi" w:hAnsiTheme="minorHAnsi"/>
        </w:rPr>
        <w:footnoteRef/>
      </w:r>
      <w:r w:rsidRPr="002B6232">
        <w:rPr>
          <w:rFonts w:asciiTheme="minorHAnsi" w:hAnsiTheme="minorHAnsi"/>
        </w:rPr>
        <w:t xml:space="preserve"> Vgl. Kernlehrplan für das Gymnasium – Sekundarstufe I (G8) in NRW. Mathematik, MSW 2007,  S. 19.</w:t>
      </w:r>
    </w:p>
  </w:footnote>
  <w:footnote w:id="5">
    <w:p w:rsidR="006830AA" w:rsidRPr="002B6232" w:rsidRDefault="006830AA" w:rsidP="006830AA">
      <w:pPr>
        <w:pStyle w:val="Funotentext"/>
        <w:rPr>
          <w:rFonts w:asciiTheme="minorHAnsi" w:hAnsiTheme="minorHAnsi"/>
        </w:rPr>
      </w:pPr>
      <w:r w:rsidRPr="002B6232">
        <w:rPr>
          <w:rStyle w:val="Funotenzeichen"/>
          <w:rFonts w:asciiTheme="minorHAnsi" w:hAnsiTheme="minorHAnsi"/>
        </w:rPr>
        <w:footnoteRef/>
      </w:r>
      <w:r w:rsidRPr="002B6232">
        <w:rPr>
          <w:rFonts w:asciiTheme="minorHAnsi" w:hAnsiTheme="minorHAnsi"/>
        </w:rPr>
        <w:t xml:space="preserve"> Vgl. ebd. S. 14.</w:t>
      </w:r>
    </w:p>
  </w:footnote>
  <w:footnote w:id="6">
    <w:p w:rsidR="006830AA" w:rsidRPr="002B6232" w:rsidRDefault="006830AA" w:rsidP="006830AA">
      <w:pPr>
        <w:pStyle w:val="Funotentext"/>
        <w:rPr>
          <w:rFonts w:asciiTheme="minorHAnsi" w:hAnsiTheme="minorHAnsi"/>
        </w:rPr>
      </w:pPr>
      <w:r w:rsidRPr="002B6232">
        <w:rPr>
          <w:rStyle w:val="Funotenzeichen"/>
          <w:rFonts w:asciiTheme="minorHAnsi" w:hAnsiTheme="minorHAnsi"/>
        </w:rPr>
        <w:footnoteRef/>
      </w:r>
      <w:r w:rsidRPr="002B6232">
        <w:rPr>
          <w:rFonts w:asciiTheme="minorHAnsi" w:hAnsiTheme="minorHAnsi"/>
        </w:rPr>
        <w:t xml:space="preserve"> Vgl. ebd. S. 14.</w:t>
      </w:r>
    </w:p>
  </w:footnote>
  <w:footnote w:id="7">
    <w:p w:rsidR="00203145" w:rsidRPr="00203145" w:rsidRDefault="00203145" w:rsidP="00203145">
      <w:pPr>
        <w:pStyle w:val="Funotentext"/>
        <w:rPr>
          <w:rFonts w:asciiTheme="minorHAnsi" w:hAnsiTheme="minorHAnsi"/>
        </w:rPr>
      </w:pPr>
      <w:r>
        <w:rPr>
          <w:rStyle w:val="Funotenzeichen"/>
        </w:rPr>
        <w:footnoteRef/>
      </w:r>
      <w:r>
        <w:t xml:space="preserve"> </w:t>
      </w:r>
      <w:r w:rsidRPr="00203145">
        <w:rPr>
          <w:rFonts w:asciiTheme="minorHAnsi" w:hAnsiTheme="minorHAnsi"/>
        </w:rPr>
        <w:t xml:space="preserve">bitte direkt verlinken: </w:t>
      </w:r>
      <w:hyperlink r:id="rId1" w:history="1">
        <w:r w:rsidRPr="00203145">
          <w:rPr>
            <w:rStyle w:val="Hyperlink"/>
            <w:rFonts w:asciiTheme="minorHAnsi" w:hAnsiTheme="minorHAnsi"/>
          </w:rPr>
          <w:t>https://www.schulentwicklung.nrw.de/cms/inklusiver-fachunterricht/entwicklungsbereiche/index.html</w:t>
        </w:r>
      </w:hyperlink>
      <w:r w:rsidRPr="00203145">
        <w:rPr>
          <w:rFonts w:asciiTheme="minorHAnsi" w:hAnsiTheme="minorHAnsi"/>
        </w:rPr>
        <w:t xml:space="preserve"> </w:t>
      </w:r>
    </w:p>
  </w:footnote>
  <w:footnote w:id="8">
    <w:p w:rsidR="00203145" w:rsidRPr="00203145" w:rsidRDefault="00203145" w:rsidP="00203145">
      <w:pPr>
        <w:pStyle w:val="Funotentext"/>
        <w:rPr>
          <w:rFonts w:asciiTheme="minorHAnsi" w:hAnsiTheme="minorHAnsi"/>
        </w:rPr>
      </w:pPr>
      <w:r w:rsidRPr="00203145">
        <w:rPr>
          <w:rStyle w:val="Funotenzeichen"/>
          <w:rFonts w:asciiTheme="minorHAnsi" w:hAnsiTheme="minorHAnsi"/>
        </w:rPr>
        <w:footnoteRef/>
      </w:r>
      <w:r w:rsidRPr="00203145">
        <w:rPr>
          <w:rFonts w:asciiTheme="minorHAnsi" w:hAnsiTheme="minorHAnsi"/>
        </w:rPr>
        <w:t xml:space="preserve"> vgl. Roth, Jürgen:  Didaktik der Geometrie Modul 5: Fachdidaktische Bereiche. Präsentation an der Universität Koblenz Landau. </w:t>
      </w:r>
      <w:hyperlink r:id="rId2" w:history="1">
        <w:r w:rsidRPr="00203145">
          <w:rPr>
            <w:rStyle w:val="Hyperlink"/>
            <w:rFonts w:asciiTheme="minorHAnsi" w:hAnsiTheme="minorHAnsi"/>
          </w:rPr>
          <w:t>http://www.dms.uni-landau.de/roth/lehre/skripte/did_geometrie/did_geometrie_2_begriffsbildung.pdf</w:t>
        </w:r>
      </w:hyperlink>
      <w:r w:rsidRPr="00203145">
        <w:rPr>
          <w:rFonts w:asciiTheme="minorHAnsi" w:hAnsiTheme="minorHAnsi"/>
        </w:rPr>
        <w:t xml:space="preserve"> [02.05.2018]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CE" w:rsidRDefault="007036E0" w:rsidP="002F46CE">
    <w:pPr>
      <w:pStyle w:val="Kopfzeile"/>
    </w:pPr>
    <w:r>
      <w:t>D1.2</w:t>
    </w:r>
    <w:r w:rsidR="002F46CE">
      <w:tab/>
    </w:r>
    <w:r w:rsidR="00621480">
      <w:t>Ich nutze das Knotenseil</w:t>
    </w:r>
    <w:r w:rsidR="002F46CE">
      <w:tab/>
    </w:r>
    <w:r w:rsidR="002F46CE">
      <w:tab/>
    </w:r>
  </w:p>
  <w:p w:rsidR="002E2E53" w:rsidRDefault="002E2E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A15671">
    <w:pPr>
      <w:pStyle w:val="Kopfzeile"/>
    </w:pPr>
    <w:r>
      <w:t>D1.1</w:t>
    </w:r>
    <w:r w:rsidR="002F46CE">
      <w:tab/>
      <w:t>Anwendungsaufgaben durch Ausprobieren lösen</w:t>
    </w:r>
    <w:r w:rsidR="002E2E53">
      <w:tab/>
    </w:r>
    <w:r w:rsidR="002E2E5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935"/>
    <w:multiLevelType w:val="hybridMultilevel"/>
    <w:tmpl w:val="9CD049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4E728F"/>
    <w:multiLevelType w:val="hybridMultilevel"/>
    <w:tmpl w:val="30AED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60638A"/>
    <w:multiLevelType w:val="hybridMultilevel"/>
    <w:tmpl w:val="C0866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422761B"/>
    <w:multiLevelType w:val="hybridMultilevel"/>
    <w:tmpl w:val="FB86E3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E0"/>
    <w:rsid w:val="000103BA"/>
    <w:rsid w:val="00027CA8"/>
    <w:rsid w:val="00081864"/>
    <w:rsid w:val="000D4F9B"/>
    <w:rsid w:val="000E7645"/>
    <w:rsid w:val="00181C2E"/>
    <w:rsid w:val="001842A0"/>
    <w:rsid w:val="001B14E8"/>
    <w:rsid w:val="001C6D2F"/>
    <w:rsid w:val="00203145"/>
    <w:rsid w:val="002110DD"/>
    <w:rsid w:val="002A48E0"/>
    <w:rsid w:val="002B6232"/>
    <w:rsid w:val="002D69D1"/>
    <w:rsid w:val="002E1F7B"/>
    <w:rsid w:val="002E2E53"/>
    <w:rsid w:val="002E3177"/>
    <w:rsid w:val="002F46CE"/>
    <w:rsid w:val="00314AD4"/>
    <w:rsid w:val="003C59FC"/>
    <w:rsid w:val="003F0297"/>
    <w:rsid w:val="00414E4E"/>
    <w:rsid w:val="0056419A"/>
    <w:rsid w:val="00570FB4"/>
    <w:rsid w:val="005D2912"/>
    <w:rsid w:val="005E2EFB"/>
    <w:rsid w:val="00621480"/>
    <w:rsid w:val="00660A83"/>
    <w:rsid w:val="006830AA"/>
    <w:rsid w:val="006A5E91"/>
    <w:rsid w:val="007036E0"/>
    <w:rsid w:val="00757A55"/>
    <w:rsid w:val="00761589"/>
    <w:rsid w:val="007861EC"/>
    <w:rsid w:val="007B7671"/>
    <w:rsid w:val="007D07DA"/>
    <w:rsid w:val="00816BAE"/>
    <w:rsid w:val="008262A6"/>
    <w:rsid w:val="0083508B"/>
    <w:rsid w:val="00850E57"/>
    <w:rsid w:val="008E5E67"/>
    <w:rsid w:val="009A167C"/>
    <w:rsid w:val="009A2C63"/>
    <w:rsid w:val="009B5062"/>
    <w:rsid w:val="009F341B"/>
    <w:rsid w:val="009F467F"/>
    <w:rsid w:val="00A15671"/>
    <w:rsid w:val="00A50D97"/>
    <w:rsid w:val="00A7062A"/>
    <w:rsid w:val="00B66A8E"/>
    <w:rsid w:val="00B84748"/>
    <w:rsid w:val="00B919F7"/>
    <w:rsid w:val="00BC17AA"/>
    <w:rsid w:val="00C73BFF"/>
    <w:rsid w:val="00C91D86"/>
    <w:rsid w:val="00CF6CC9"/>
    <w:rsid w:val="00D14729"/>
    <w:rsid w:val="00D83B2B"/>
    <w:rsid w:val="00DF7713"/>
    <w:rsid w:val="00E95438"/>
    <w:rsid w:val="00E95BE1"/>
    <w:rsid w:val="00EB3E7F"/>
    <w:rsid w:val="00EB47B9"/>
    <w:rsid w:val="00F343CA"/>
    <w:rsid w:val="00F666B2"/>
    <w:rsid w:val="00F8673D"/>
    <w:rsid w:val="00F91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line="276" w:lineRule="auto"/>
    </w:pPr>
    <w:rPr>
      <w:sz w:val="24"/>
      <w:szCs w:val="22"/>
      <w:lang w:eastAsia="en-US"/>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pBdr>
      <w:spacing w:after="300" w:line="240" w:lineRule="auto"/>
      <w:contextualSpacing/>
    </w:pPr>
    <w:rPr>
      <w:rFonts w:eastAsia="Times New Roman" w:cs="Arial"/>
      <w:color w:val="17365D"/>
      <w:spacing w:val="5"/>
      <w:kern w:val="28"/>
      <w:sz w:val="44"/>
      <w:szCs w:val="52"/>
    </w:rPr>
  </w:style>
  <w:style w:type="character" w:customStyle="1" w:styleId="TitelZchn">
    <w:name w:val="Titel Zchn"/>
    <w:link w:val="Titel"/>
    <w:uiPriority w:val="10"/>
    <w:rsid w:val="008262A6"/>
    <w:rPr>
      <w:rFonts w:eastAsia="Times New Roman" w:cs="Arial"/>
      <w:color w:val="17365D"/>
      <w:spacing w:val="5"/>
      <w:kern w:val="28"/>
      <w:sz w:val="44"/>
      <w:szCs w:val="52"/>
    </w:rPr>
  </w:style>
  <w:style w:type="character" w:customStyle="1" w:styleId="berschrift1Zchn">
    <w:name w:val="Überschrift 1 Zchn"/>
    <w:link w:val="berschrift1"/>
    <w:uiPriority w:val="9"/>
    <w:rsid w:val="00660A8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60A83"/>
    <w:rPr>
      <w:rFonts w:ascii="Cambria" w:eastAsia="Times New Roman" w:hAnsi="Cambria" w:cs="Times New Roman"/>
      <w:b/>
      <w:bCs/>
      <w:color w:val="4F81BD"/>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9B5062"/>
    <w:pPr>
      <w:ind w:left="720"/>
      <w:contextualSpacing/>
    </w:pPr>
  </w:style>
  <w:style w:type="character" w:styleId="Kommentarzeichen">
    <w:name w:val="annotation reference"/>
    <w:basedOn w:val="Absatz-Standardschriftart"/>
    <w:uiPriority w:val="99"/>
    <w:semiHidden/>
    <w:unhideWhenUsed/>
    <w:rsid w:val="00081864"/>
    <w:rPr>
      <w:sz w:val="16"/>
      <w:szCs w:val="16"/>
    </w:rPr>
  </w:style>
  <w:style w:type="paragraph" w:styleId="Kommentartext">
    <w:name w:val="annotation text"/>
    <w:basedOn w:val="Standard"/>
    <w:link w:val="KommentartextZchn"/>
    <w:uiPriority w:val="99"/>
    <w:semiHidden/>
    <w:unhideWhenUsed/>
    <w:rsid w:val="00081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1864"/>
    <w:rPr>
      <w:lang w:eastAsia="en-US"/>
    </w:rPr>
  </w:style>
  <w:style w:type="paragraph" w:styleId="Kommentarthema">
    <w:name w:val="annotation subject"/>
    <w:basedOn w:val="Kommentartext"/>
    <w:next w:val="Kommentartext"/>
    <w:link w:val="KommentarthemaZchn"/>
    <w:uiPriority w:val="99"/>
    <w:semiHidden/>
    <w:unhideWhenUsed/>
    <w:rsid w:val="00081864"/>
    <w:rPr>
      <w:b/>
      <w:bCs/>
    </w:rPr>
  </w:style>
  <w:style w:type="character" w:customStyle="1" w:styleId="KommentarthemaZchn">
    <w:name w:val="Kommentarthema Zchn"/>
    <w:basedOn w:val="KommentartextZchn"/>
    <w:link w:val="Kommentarthema"/>
    <w:uiPriority w:val="99"/>
    <w:semiHidden/>
    <w:rsid w:val="00081864"/>
    <w:rPr>
      <w:b/>
      <w:bCs/>
      <w:lang w:eastAsia="en-US"/>
    </w:rPr>
  </w:style>
  <w:style w:type="paragraph" w:styleId="Funotentext">
    <w:name w:val="footnote text"/>
    <w:basedOn w:val="Standard"/>
    <w:link w:val="FunotentextZchn"/>
    <w:unhideWhenUsed/>
    <w:qFormat/>
    <w:rsid w:val="00850E57"/>
    <w:pPr>
      <w:spacing w:after="0" w:line="240" w:lineRule="auto"/>
    </w:pPr>
    <w:rPr>
      <w:rFonts w:ascii="Times New Roman" w:eastAsiaTheme="minorHAnsi" w:hAnsi="Times New Roman" w:cstheme="minorBidi"/>
      <w:sz w:val="20"/>
      <w:szCs w:val="20"/>
    </w:rPr>
  </w:style>
  <w:style w:type="character" w:customStyle="1" w:styleId="FunotentextZchn">
    <w:name w:val="Fußnotentext Zchn"/>
    <w:basedOn w:val="Absatz-Standardschriftart"/>
    <w:link w:val="Funotentext"/>
    <w:rsid w:val="00850E57"/>
    <w:rPr>
      <w:rFonts w:ascii="Times New Roman" w:eastAsiaTheme="minorHAnsi" w:hAnsi="Times New Roman" w:cstheme="minorBidi"/>
      <w:lang w:eastAsia="en-US"/>
    </w:rPr>
  </w:style>
  <w:style w:type="character" w:styleId="Funotenzeichen">
    <w:name w:val="footnote reference"/>
    <w:basedOn w:val="Absatz-Standardschriftart"/>
    <w:uiPriority w:val="99"/>
    <w:unhideWhenUsed/>
    <w:qFormat/>
    <w:rsid w:val="00850E57"/>
    <w:rPr>
      <w:vertAlign w:val="superscript"/>
    </w:rPr>
  </w:style>
  <w:style w:type="character" w:styleId="Hyperlink">
    <w:name w:val="Hyperlink"/>
    <w:basedOn w:val="Absatz-Standardschriftart"/>
    <w:uiPriority w:val="99"/>
    <w:unhideWhenUsed/>
    <w:rsid w:val="00203145"/>
    <w:rPr>
      <w:color w:val="0000FF" w:themeColor="hyperlink"/>
      <w:u w:val="single"/>
    </w:rPr>
  </w:style>
  <w:style w:type="paragraph" w:customStyle="1" w:styleId="Aufklapper">
    <w:name w:val="Aufklapper"/>
    <w:basedOn w:val="Standard"/>
    <w:link w:val="AufklapperZchn"/>
    <w:qFormat/>
    <w:rsid w:val="00203145"/>
    <w:pPr>
      <w:spacing w:after="200"/>
      <w:ind w:left="567" w:right="567"/>
      <w:jc w:val="both"/>
    </w:pPr>
    <w:rPr>
      <w:rFonts w:ascii="Arial" w:eastAsiaTheme="minorEastAsia" w:hAnsi="Arial" w:cs="Arial"/>
      <w:color w:val="4F6228" w:themeColor="accent3" w:themeShade="80"/>
      <w:sz w:val="22"/>
    </w:rPr>
  </w:style>
  <w:style w:type="character" w:customStyle="1" w:styleId="AufklapperZchn">
    <w:name w:val="Aufklapper Zchn"/>
    <w:basedOn w:val="Absatz-Standardschriftart"/>
    <w:link w:val="Aufklapper"/>
    <w:rsid w:val="00203145"/>
    <w:rPr>
      <w:rFonts w:ascii="Arial" w:eastAsiaTheme="minorEastAsia" w:hAnsi="Arial" w:cs="Arial"/>
      <w:color w:val="4F6228" w:themeColor="accent3" w:themeShade="8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line="276" w:lineRule="auto"/>
    </w:pPr>
    <w:rPr>
      <w:sz w:val="24"/>
      <w:szCs w:val="22"/>
      <w:lang w:eastAsia="en-US"/>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pBdr>
      <w:spacing w:after="300" w:line="240" w:lineRule="auto"/>
      <w:contextualSpacing/>
    </w:pPr>
    <w:rPr>
      <w:rFonts w:eastAsia="Times New Roman" w:cs="Arial"/>
      <w:color w:val="17365D"/>
      <w:spacing w:val="5"/>
      <w:kern w:val="28"/>
      <w:sz w:val="44"/>
      <w:szCs w:val="52"/>
    </w:rPr>
  </w:style>
  <w:style w:type="character" w:customStyle="1" w:styleId="TitelZchn">
    <w:name w:val="Titel Zchn"/>
    <w:link w:val="Titel"/>
    <w:uiPriority w:val="10"/>
    <w:rsid w:val="008262A6"/>
    <w:rPr>
      <w:rFonts w:eastAsia="Times New Roman" w:cs="Arial"/>
      <w:color w:val="17365D"/>
      <w:spacing w:val="5"/>
      <w:kern w:val="28"/>
      <w:sz w:val="44"/>
      <w:szCs w:val="52"/>
    </w:rPr>
  </w:style>
  <w:style w:type="character" w:customStyle="1" w:styleId="berschrift1Zchn">
    <w:name w:val="Überschrift 1 Zchn"/>
    <w:link w:val="berschrift1"/>
    <w:uiPriority w:val="9"/>
    <w:rsid w:val="00660A8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60A83"/>
    <w:rPr>
      <w:rFonts w:ascii="Cambria" w:eastAsia="Times New Roman" w:hAnsi="Cambria" w:cs="Times New Roman"/>
      <w:b/>
      <w:bCs/>
      <w:color w:val="4F81BD"/>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9B5062"/>
    <w:pPr>
      <w:ind w:left="720"/>
      <w:contextualSpacing/>
    </w:pPr>
  </w:style>
  <w:style w:type="character" w:styleId="Kommentarzeichen">
    <w:name w:val="annotation reference"/>
    <w:basedOn w:val="Absatz-Standardschriftart"/>
    <w:uiPriority w:val="99"/>
    <w:semiHidden/>
    <w:unhideWhenUsed/>
    <w:rsid w:val="00081864"/>
    <w:rPr>
      <w:sz w:val="16"/>
      <w:szCs w:val="16"/>
    </w:rPr>
  </w:style>
  <w:style w:type="paragraph" w:styleId="Kommentartext">
    <w:name w:val="annotation text"/>
    <w:basedOn w:val="Standard"/>
    <w:link w:val="KommentartextZchn"/>
    <w:uiPriority w:val="99"/>
    <w:semiHidden/>
    <w:unhideWhenUsed/>
    <w:rsid w:val="00081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1864"/>
    <w:rPr>
      <w:lang w:eastAsia="en-US"/>
    </w:rPr>
  </w:style>
  <w:style w:type="paragraph" w:styleId="Kommentarthema">
    <w:name w:val="annotation subject"/>
    <w:basedOn w:val="Kommentartext"/>
    <w:next w:val="Kommentartext"/>
    <w:link w:val="KommentarthemaZchn"/>
    <w:uiPriority w:val="99"/>
    <w:semiHidden/>
    <w:unhideWhenUsed/>
    <w:rsid w:val="00081864"/>
    <w:rPr>
      <w:b/>
      <w:bCs/>
    </w:rPr>
  </w:style>
  <w:style w:type="character" w:customStyle="1" w:styleId="KommentarthemaZchn">
    <w:name w:val="Kommentarthema Zchn"/>
    <w:basedOn w:val="KommentartextZchn"/>
    <w:link w:val="Kommentarthema"/>
    <w:uiPriority w:val="99"/>
    <w:semiHidden/>
    <w:rsid w:val="00081864"/>
    <w:rPr>
      <w:b/>
      <w:bCs/>
      <w:lang w:eastAsia="en-US"/>
    </w:rPr>
  </w:style>
  <w:style w:type="paragraph" w:styleId="Funotentext">
    <w:name w:val="footnote text"/>
    <w:basedOn w:val="Standard"/>
    <w:link w:val="FunotentextZchn"/>
    <w:unhideWhenUsed/>
    <w:qFormat/>
    <w:rsid w:val="00850E57"/>
    <w:pPr>
      <w:spacing w:after="0" w:line="240" w:lineRule="auto"/>
    </w:pPr>
    <w:rPr>
      <w:rFonts w:ascii="Times New Roman" w:eastAsiaTheme="minorHAnsi" w:hAnsi="Times New Roman" w:cstheme="minorBidi"/>
      <w:sz w:val="20"/>
      <w:szCs w:val="20"/>
    </w:rPr>
  </w:style>
  <w:style w:type="character" w:customStyle="1" w:styleId="FunotentextZchn">
    <w:name w:val="Fußnotentext Zchn"/>
    <w:basedOn w:val="Absatz-Standardschriftart"/>
    <w:link w:val="Funotentext"/>
    <w:rsid w:val="00850E57"/>
    <w:rPr>
      <w:rFonts w:ascii="Times New Roman" w:eastAsiaTheme="minorHAnsi" w:hAnsi="Times New Roman" w:cstheme="minorBidi"/>
      <w:lang w:eastAsia="en-US"/>
    </w:rPr>
  </w:style>
  <w:style w:type="character" w:styleId="Funotenzeichen">
    <w:name w:val="footnote reference"/>
    <w:basedOn w:val="Absatz-Standardschriftart"/>
    <w:uiPriority w:val="99"/>
    <w:unhideWhenUsed/>
    <w:qFormat/>
    <w:rsid w:val="00850E57"/>
    <w:rPr>
      <w:vertAlign w:val="superscript"/>
    </w:rPr>
  </w:style>
  <w:style w:type="character" w:styleId="Hyperlink">
    <w:name w:val="Hyperlink"/>
    <w:basedOn w:val="Absatz-Standardschriftart"/>
    <w:uiPriority w:val="99"/>
    <w:unhideWhenUsed/>
    <w:rsid w:val="00203145"/>
    <w:rPr>
      <w:color w:val="0000FF" w:themeColor="hyperlink"/>
      <w:u w:val="single"/>
    </w:rPr>
  </w:style>
  <w:style w:type="paragraph" w:customStyle="1" w:styleId="Aufklapper">
    <w:name w:val="Aufklapper"/>
    <w:basedOn w:val="Standard"/>
    <w:link w:val="AufklapperZchn"/>
    <w:qFormat/>
    <w:rsid w:val="00203145"/>
    <w:pPr>
      <w:spacing w:after="200"/>
      <w:ind w:left="567" w:right="567"/>
      <w:jc w:val="both"/>
    </w:pPr>
    <w:rPr>
      <w:rFonts w:ascii="Arial" w:eastAsiaTheme="minorEastAsia" w:hAnsi="Arial" w:cs="Arial"/>
      <w:color w:val="4F6228" w:themeColor="accent3" w:themeShade="80"/>
      <w:sz w:val="22"/>
    </w:rPr>
  </w:style>
  <w:style w:type="character" w:customStyle="1" w:styleId="AufklapperZchn">
    <w:name w:val="Aufklapper Zchn"/>
    <w:basedOn w:val="Absatz-Standardschriftart"/>
    <w:link w:val="Aufklapper"/>
    <w:rsid w:val="00203145"/>
    <w:rPr>
      <w:rFonts w:ascii="Arial" w:eastAsiaTheme="minorEastAsia" w:hAnsi="Arial" w:cs="Arial"/>
      <w:color w:val="4F6228" w:themeColor="accent3" w:themeShade="8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ms.uni-landau.de/roth/lehre/skripte/did_geometrie/did_geometrie_2_begriffsbildung.pdf" TargetMode="External"/><Relationship Id="rId1" Type="http://schemas.openxmlformats.org/officeDocument/2006/relationships/hyperlink" Target="https://www.schulentwicklung.nrw.de/cms/inklusiver-fachunterricht/entwicklungsbereiche/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7F053-370A-45DE-87D7-BA026D8F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4</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Ilaria</dc:creator>
  <cp:keywords>inklusiver Fachunterricht, Mathematik, rechter Winkel, Lernaufgaben</cp:keywords>
  <cp:lastModifiedBy>Eßer, Susanne</cp:lastModifiedBy>
  <cp:revision>3</cp:revision>
  <cp:lastPrinted>2017-06-08T07:20:00Z</cp:lastPrinted>
  <dcterms:created xsi:type="dcterms:W3CDTF">2018-07-02T12:41:00Z</dcterms:created>
  <dcterms:modified xsi:type="dcterms:W3CDTF">2018-07-02T12:42:00Z</dcterms:modified>
</cp:coreProperties>
</file>