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A3" w:rsidRPr="00780937" w:rsidRDefault="00E304A3" w:rsidP="00E304A3">
      <w:pPr>
        <w:pStyle w:val="berschrift1"/>
      </w:pPr>
      <w:bookmarkStart w:id="0" w:name="_GoBack"/>
      <w:bookmarkEnd w:id="0"/>
      <w:r>
        <w:t>D</w:t>
      </w:r>
      <w:r w:rsidRPr="00780937">
        <w:t>er Kathetensatz</w:t>
      </w:r>
    </w:p>
    <w:p w:rsidR="00E304A3" w:rsidRPr="00515957" w:rsidRDefault="00E304A3" w:rsidP="00E304A3">
      <w:pPr>
        <w:pStyle w:val="Tafel1"/>
      </w:pPr>
      <w:r w:rsidRPr="00515957">
        <w:t>Für jedes rechtwinklige Dreieck gilt:</w:t>
      </w:r>
    </w:p>
    <w:p w:rsidR="00E304A3" w:rsidRPr="00515957" w:rsidRDefault="00E304A3" w:rsidP="00E304A3">
      <w:pPr>
        <w:pStyle w:val="Tafel1"/>
      </w:pPr>
      <w:r w:rsidRPr="00515957">
        <w:t>Das Quadrat über einer Kathete ist flächengleich zum Rechteck aus der Hypotenuse und dem anliegenden Hypotenusenabschnitt.</w:t>
      </w:r>
    </w:p>
    <w:p w:rsidR="00E304A3" w:rsidRDefault="00E304A3" w:rsidP="00E304A3">
      <w:pPr>
        <w:pStyle w:val="Tafel1"/>
      </w:pPr>
      <w:r w:rsidRPr="00515957">
        <w:t>Wenn der rechte Winkel bei C ist, gilt:</w:t>
      </w:r>
    </w:p>
    <w:p w:rsidR="00E304A3" w:rsidRPr="0073023C" w:rsidRDefault="00E304A3" w:rsidP="00E304A3">
      <w:pPr>
        <w:pStyle w:val="Tafel1"/>
      </w:pPr>
      <w:r>
        <w:tab/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=c⋅p</m:t>
        </m:r>
      </m:oMath>
      <w:r>
        <w:tab/>
      </w:r>
      <w:r>
        <w:tab/>
      </w:r>
      <w:r>
        <w:tab/>
      </w:r>
      <w:r>
        <w:tab/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=c⋅q</m:t>
        </m:r>
      </m:oMath>
    </w:p>
    <w:p w:rsidR="00E304A3" w:rsidRDefault="00E304A3" w:rsidP="00E304A3">
      <w:pPr>
        <w:pStyle w:val="Tafel1"/>
      </w:pPr>
      <w:r w:rsidRPr="00791A38">
        <w:tab/>
      </w:r>
      <w:r>
        <w:rPr>
          <w:noProof/>
        </w:rPr>
        <w:drawing>
          <wp:inline distT="0" distB="0" distL="0" distR="0">
            <wp:extent cx="1400400" cy="2023200"/>
            <wp:effectExtent l="0" t="0" r="9525" b="0"/>
            <wp:docPr id="291" name="Grafik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20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A38">
        <w:tab/>
      </w:r>
      <w:r w:rsidRPr="00791A38">
        <w:tab/>
      </w:r>
      <w:r w:rsidRPr="00791A38">
        <w:tab/>
      </w:r>
      <w:r w:rsidRPr="00791A38">
        <w:tab/>
      </w:r>
      <w:r w:rsidRPr="00791A38">
        <w:rPr>
          <w:noProof/>
        </w:rPr>
        <w:drawing>
          <wp:inline distT="0" distB="0" distL="0" distR="0">
            <wp:extent cx="1463040" cy="1798654"/>
            <wp:effectExtent l="0" t="0" r="3810" b="0"/>
            <wp:docPr id="289" name="Grafik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7937" t="21925" r="58729"/>
                    <a:stretch/>
                  </pic:blipFill>
                  <pic:spPr bwMode="auto">
                    <a:xfrm>
                      <a:off x="0" y="0"/>
                      <a:ext cx="1464451" cy="1800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04A3" w:rsidRDefault="00E304A3" w:rsidP="002436DB">
      <w:pPr>
        <w:pStyle w:val="Listenabsatz"/>
        <w:numPr>
          <w:ilvl w:val="0"/>
          <w:numId w:val="0"/>
        </w:numPr>
        <w:ind w:left="720"/>
      </w:pPr>
      <w:r>
        <w:t>Beweise den Kathetensatz.</w:t>
      </w:r>
    </w:p>
    <w:p w:rsidR="00E304A3" w:rsidRDefault="00E304A3" w:rsidP="00E304A3">
      <w:pPr>
        <w:pStyle w:val="Listenabsatz"/>
        <w:numPr>
          <w:ilvl w:val="0"/>
          <w:numId w:val="0"/>
        </w:numPr>
        <w:ind w:left="720"/>
      </w:pPr>
      <w:r>
        <w:t>Du kannst einen zeichnerischen (Puzzle-) Beweis durchführen, d</w:t>
      </w:r>
      <w:r w:rsidR="0060700E">
        <w:t>azu gibt es die Hinweiskarte A</w:t>
      </w:r>
      <w:r>
        <w:t>.</w:t>
      </w:r>
    </w:p>
    <w:p w:rsidR="002436DB" w:rsidRDefault="00E304A3" w:rsidP="00E304A3">
      <w:pPr>
        <w:pStyle w:val="Listenabsatz"/>
        <w:numPr>
          <w:ilvl w:val="0"/>
          <w:numId w:val="0"/>
        </w:numPr>
        <w:ind w:left="720"/>
        <w:sectPr w:rsidR="002436DB" w:rsidSect="00A862FC">
          <w:headerReference w:type="default" r:id="rId11"/>
          <w:footerReference w:type="defaul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t>Du kannst einen algebraischen Beweis durchführen, d</w:t>
      </w:r>
      <w:r w:rsidR="0060700E">
        <w:t>azu gibt es die Hinweiskarte B</w:t>
      </w:r>
      <w:r>
        <w:t>.</w:t>
      </w:r>
    </w:p>
    <w:p w:rsidR="00E304A3" w:rsidRDefault="00E304A3" w:rsidP="00E304A3">
      <w:pPr>
        <w:pStyle w:val="Listenabsatz"/>
        <w:numPr>
          <w:ilvl w:val="0"/>
          <w:numId w:val="0"/>
        </w:numPr>
        <w:ind w:left="720"/>
      </w:pPr>
    </w:p>
    <w:p w:rsidR="00E304A3" w:rsidRPr="00C25156" w:rsidRDefault="0060700E" w:rsidP="00E304A3">
      <w:pPr>
        <w:pStyle w:val="berschrift2"/>
      </w:pPr>
      <w:r>
        <w:t>Hinweiskarte A</w:t>
      </w:r>
      <w:r w:rsidR="00E304A3" w:rsidRPr="00C25156">
        <w:t xml:space="preserve"> – Der Kathetensatz</w:t>
      </w:r>
    </w:p>
    <w:p w:rsidR="00E304A3" w:rsidRPr="00C25156" w:rsidRDefault="00E304A3" w:rsidP="00E304A3">
      <w:pPr>
        <w:pStyle w:val="Tafel1"/>
      </w:pPr>
      <w:r>
        <w:rPr>
          <w:noProof/>
        </w:rPr>
        <w:drawing>
          <wp:inline distT="0" distB="0" distL="0" distR="0">
            <wp:extent cx="3988800" cy="219960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800" cy="21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4A3" w:rsidRPr="00C25156" w:rsidRDefault="00E304A3" w:rsidP="00E304A3">
      <w:pPr>
        <w:pStyle w:val="Tafel1"/>
      </w:pPr>
      <w:r w:rsidRPr="00C25156">
        <w:t>Gehe wie folgt vor:</w:t>
      </w:r>
    </w:p>
    <w:p w:rsidR="00E304A3" w:rsidRPr="00C25156" w:rsidRDefault="00E304A3" w:rsidP="00E304A3">
      <w:pPr>
        <w:pStyle w:val="Tafel2"/>
      </w:pPr>
      <w:r>
        <w:t>1.</w:t>
      </w:r>
      <w:r>
        <w:tab/>
      </w:r>
      <w:r w:rsidRPr="00C25156">
        <w:t xml:space="preserve">Drücke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Pr="00C25156">
        <w:t xml:space="preserve"> mithilfe des Satzes des Pythagoras jeweils im Dreieck </w:t>
      </w:r>
      <m:oMath>
        <m:r>
          <w:rPr>
            <w:rFonts w:ascii="Cambria Math" w:hAnsi="Cambria Math"/>
          </w:rPr>
          <m:t>DBC</m:t>
        </m:r>
      </m:oMath>
      <w:r w:rsidRPr="00C25156">
        <w:t xml:space="preserve"> und </w:t>
      </w:r>
      <m:oMath>
        <m:r>
          <w:rPr>
            <w:rFonts w:ascii="Cambria Math" w:hAnsi="Cambria Math"/>
          </w:rPr>
          <m:t>ADC</m:t>
        </m:r>
      </m:oMath>
      <w:r w:rsidRPr="00C25156">
        <w:t xml:space="preserve"> aus und setze die beiden Ausdrücke einander gleich.</w:t>
      </w:r>
    </w:p>
    <w:p w:rsidR="00E304A3" w:rsidRPr="00C25156" w:rsidRDefault="00E304A3" w:rsidP="00E304A3">
      <w:pPr>
        <w:pStyle w:val="Tafel2"/>
      </w:pPr>
      <w:r>
        <w:t xml:space="preserve">2. </w:t>
      </w:r>
      <w:r>
        <w:tab/>
      </w:r>
      <w:r w:rsidRPr="00C25156">
        <w:t xml:space="preserve">Drücke nun </w:t>
      </w:r>
      <m:oMath>
        <m:r>
          <w:rPr>
            <w:rFonts w:ascii="Cambria Math" w:hAnsi="Cambria Math"/>
          </w:rPr>
          <m:t>b</m:t>
        </m:r>
      </m:oMath>
      <w:r w:rsidRPr="00C25156">
        <w:t xml:space="preserve"> im Dreieck </w:t>
      </w:r>
      <m:oMath>
        <m:r>
          <w:rPr>
            <w:rFonts w:ascii="Cambria Math" w:hAnsi="Cambria Math"/>
          </w:rPr>
          <m:t>ABC</m:t>
        </m:r>
      </m:oMath>
      <w:r w:rsidRPr="00C25156">
        <w:t xml:space="preserve"> mithilfe des Satzes des Pythagoras aus und setze es in die Gleichung aus 1.) ein.</w:t>
      </w:r>
    </w:p>
    <w:p w:rsidR="00E304A3" w:rsidRPr="00C25156" w:rsidRDefault="00E304A3" w:rsidP="00E304A3">
      <w:pPr>
        <w:pStyle w:val="Tafel2"/>
      </w:pPr>
      <w:r>
        <w:t xml:space="preserve">3. </w:t>
      </w:r>
      <w:r>
        <w:tab/>
      </w:r>
      <w:r w:rsidRPr="00C25156">
        <w:t xml:space="preserve">Drücke schließlich </w:t>
      </w:r>
      <m:oMath>
        <m:r>
          <w:rPr>
            <w:rFonts w:ascii="Cambria Math" w:hAnsi="Cambria Math"/>
          </w:rPr>
          <m:t>q</m:t>
        </m:r>
      </m:oMath>
      <w:r w:rsidRPr="00C25156">
        <w:t xml:space="preserve"> durch </w:t>
      </w:r>
      <m:oMath>
        <m:r>
          <w:rPr>
            <w:rFonts w:ascii="Cambria Math" w:hAnsi="Cambria Math"/>
          </w:rPr>
          <m:t>c</m:t>
        </m:r>
      </m:oMath>
      <w:r w:rsidRPr="00C25156">
        <w:t xml:space="preserve"> und </w:t>
      </w:r>
      <m:oMath>
        <m:r>
          <w:rPr>
            <w:rFonts w:ascii="Cambria Math" w:hAnsi="Cambria Math"/>
          </w:rPr>
          <m:t>p</m:t>
        </m:r>
      </m:oMath>
      <w:r w:rsidRPr="00C25156">
        <w:t xml:space="preserve"> aus und setzte es in die Gleichung aus 2.) ein. Löse diese dann auf und erhalte den Kathetensatz.</w:t>
      </w:r>
    </w:p>
    <w:p w:rsidR="00E304A3" w:rsidRPr="00C25156" w:rsidRDefault="00E304A3" w:rsidP="00E304A3">
      <w:pPr>
        <w:pStyle w:val="Tafel1"/>
      </w:pPr>
      <w:r w:rsidRPr="00C25156">
        <w:t>Formuliere deinen Beweis schriftlich.</w:t>
      </w:r>
    </w:p>
    <w:p w:rsidR="00E304A3" w:rsidRDefault="0060700E" w:rsidP="00E304A3">
      <w:pPr>
        <w:pStyle w:val="berschrift2"/>
      </w:pPr>
      <w:r>
        <w:t>Hinweiskarte B</w:t>
      </w:r>
      <w:r w:rsidR="00E304A3" w:rsidRPr="00C25156">
        <w:t xml:space="preserve"> – Der Kathetensatz</w:t>
      </w:r>
    </w:p>
    <w:p w:rsidR="00E304A3" w:rsidRPr="00791A38" w:rsidRDefault="00E304A3" w:rsidP="00E304A3"/>
    <w:p w:rsidR="00E304A3" w:rsidRPr="00791A38" w:rsidRDefault="00E304A3" w:rsidP="00E304A3">
      <w:r w:rsidRPr="00791A3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3228975</wp:posOffset>
            </wp:positionH>
            <wp:positionV relativeFrom="paragraph">
              <wp:posOffset>-635</wp:posOffset>
            </wp:positionV>
            <wp:extent cx="2649855" cy="2921000"/>
            <wp:effectExtent l="0" t="0" r="0" b="0"/>
            <wp:wrapSquare wrapText="bothSides"/>
            <wp:docPr id="17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45" r="22358"/>
                    <a:stretch/>
                  </pic:blipFill>
                  <pic:spPr bwMode="auto">
                    <a:xfrm>
                      <a:off x="0" y="0"/>
                      <a:ext cx="2649855" cy="292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91A38">
        <w:t>Erkläre, nach welchem System das Puzzle hergestellt wurde und inwiefern sich daraus der Kathetensatz ergibt.</w:t>
      </w:r>
    </w:p>
    <w:p w:rsidR="00E304A3" w:rsidRPr="00791A38" w:rsidRDefault="00E304A3" w:rsidP="00E304A3">
      <w:r w:rsidRPr="00791A38">
        <w:t>Erläutere, dass entsprechende Puzzleteile zueinander identisch sind.</w:t>
      </w:r>
    </w:p>
    <w:p w:rsidR="00E304A3" w:rsidRPr="00C25156" w:rsidRDefault="00E304A3" w:rsidP="00E304A3">
      <w:r w:rsidRPr="00791A38">
        <w:t>Formuliere deinen Beweis in eigenen Worten</w:t>
      </w:r>
      <w:r w:rsidRPr="00C25156">
        <w:t>.</w:t>
      </w:r>
    </w:p>
    <w:p w:rsidR="00E304A3" w:rsidRPr="00C25156" w:rsidRDefault="00E304A3" w:rsidP="00E304A3">
      <w:pPr>
        <w:pStyle w:val="Tafel1"/>
      </w:pPr>
      <w:r>
        <w:br w:type="page"/>
      </w:r>
    </w:p>
    <w:p w:rsidR="00E304A3" w:rsidRPr="00C25156" w:rsidRDefault="0060700E" w:rsidP="00E304A3">
      <w:pPr>
        <w:pStyle w:val="berschrift1"/>
      </w:pPr>
      <w:r>
        <w:lastRenderedPageBreak/>
        <w:t xml:space="preserve">Der Höhensatz des Euklid </w:t>
      </w:r>
    </w:p>
    <w:p w:rsidR="0047245A" w:rsidRDefault="0047245A" w:rsidP="002436DB">
      <w:pPr>
        <w:pStyle w:val="Listenabsatz"/>
        <w:numPr>
          <w:ilvl w:val="0"/>
          <w:numId w:val="0"/>
        </w:numPr>
        <w:ind w:left="720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211455</wp:posOffset>
            </wp:positionV>
            <wp:extent cx="2199640" cy="3266440"/>
            <wp:effectExtent l="38100" t="19050" r="10160" b="10160"/>
            <wp:wrapTopAndBottom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öhensatz.jp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32664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47245A" w:rsidRDefault="0047245A" w:rsidP="002436DB">
      <w:pPr>
        <w:pStyle w:val="Listenabsatz"/>
        <w:numPr>
          <w:ilvl w:val="0"/>
          <w:numId w:val="0"/>
        </w:numPr>
        <w:ind w:left="720"/>
      </w:pPr>
    </w:p>
    <w:p w:rsidR="00E304A3" w:rsidRPr="00C25156" w:rsidRDefault="00E304A3" w:rsidP="002436DB">
      <w:pPr>
        <w:pStyle w:val="Listenabsatz"/>
        <w:numPr>
          <w:ilvl w:val="0"/>
          <w:numId w:val="0"/>
        </w:numPr>
        <w:ind w:left="720"/>
      </w:pPr>
      <w:r w:rsidRPr="00C25156">
        <w:t>Beweise den Höhensatz.</w:t>
      </w:r>
      <w:r>
        <w:br/>
        <w:t>Es gibt die Hinweisk</w:t>
      </w:r>
      <w:r w:rsidR="0060700E">
        <w:t>arte C</w:t>
      </w:r>
      <w:r w:rsidRPr="00C25156">
        <w:t xml:space="preserve"> zu einem algebraischen Beweis.</w:t>
      </w:r>
    </w:p>
    <w:p w:rsidR="00E304A3" w:rsidRPr="00C25156" w:rsidRDefault="0060700E" w:rsidP="00E304A3">
      <w:pPr>
        <w:pStyle w:val="berschrift2"/>
      </w:pPr>
      <w:r>
        <w:t>Hinweiskarte C</w:t>
      </w:r>
      <w:r w:rsidR="00E304A3" w:rsidRPr="00C25156">
        <w:t xml:space="preserve"> – Der Höhensatz</w:t>
      </w:r>
    </w:p>
    <w:p w:rsidR="00E304A3" w:rsidRDefault="00E304A3" w:rsidP="00E304A3">
      <w:pPr>
        <w:pStyle w:val="Tafel1"/>
      </w:pPr>
      <w:r>
        <w:rPr>
          <w:noProof/>
        </w:rPr>
        <w:drawing>
          <wp:inline distT="0" distB="0" distL="0" distR="0">
            <wp:extent cx="3967200" cy="2188800"/>
            <wp:effectExtent l="0" t="0" r="0" b="2540"/>
            <wp:docPr id="2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200" cy="21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4A3" w:rsidRPr="0030087A" w:rsidRDefault="00E304A3" w:rsidP="00E304A3">
      <w:pPr>
        <w:pStyle w:val="Tafel1"/>
      </w:pPr>
      <w:r w:rsidRPr="0030087A">
        <w:t>Gehe wie folgt vor:</w:t>
      </w:r>
    </w:p>
    <w:p w:rsidR="00E304A3" w:rsidRPr="0030087A" w:rsidRDefault="00E304A3" w:rsidP="00E304A3">
      <w:pPr>
        <w:pStyle w:val="Tafel2"/>
      </w:pPr>
      <w:r>
        <w:t xml:space="preserve">1. </w:t>
      </w:r>
      <w:r>
        <w:tab/>
      </w:r>
      <w:r w:rsidRPr="00F37879">
        <w:t xml:space="preserve">Drücke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37879">
        <w:t xml:space="preserve"> im Dreieck </w:t>
      </w:r>
      <m:oMath>
        <m:r>
          <w:rPr>
            <w:rFonts w:ascii="Cambria Math" w:hAnsi="Cambria Math"/>
          </w:rPr>
          <m:t>ADC</m:t>
        </m:r>
      </m:oMath>
      <w:r w:rsidRPr="00F37879">
        <w:t xml:space="preserve"> mit Hilfe des Satzes des Pythagoras aus</w:t>
      </w:r>
      <w:r w:rsidRPr="0030087A">
        <w:t>.</w:t>
      </w:r>
    </w:p>
    <w:p w:rsidR="00E304A3" w:rsidRPr="0030087A" w:rsidRDefault="00E304A3" w:rsidP="00E304A3">
      <w:pPr>
        <w:pStyle w:val="Tafel2"/>
      </w:pPr>
      <w:r>
        <w:t xml:space="preserve">2. </w:t>
      </w:r>
      <w:r>
        <w:tab/>
      </w:r>
      <w:r w:rsidRPr="00F37879">
        <w:t xml:space="preserve">Drücke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37879">
        <w:t xml:space="preserve"> durch den Kathetensatz aus, setze es in 1.</w:t>
      </w:r>
      <w:r>
        <w:t>)</w:t>
      </w:r>
      <w:r w:rsidRPr="00F37879">
        <w:t xml:space="preserve"> ein und rechne aus</w:t>
      </w:r>
      <w:r w:rsidRPr="0030087A">
        <w:t>.</w:t>
      </w:r>
    </w:p>
    <w:p w:rsidR="00E304A3" w:rsidRDefault="00E304A3" w:rsidP="00E304A3">
      <w:pPr>
        <w:pStyle w:val="Tafel1"/>
      </w:pPr>
      <w:r w:rsidRPr="0030087A">
        <w:t>Formuliere deinen Beweis schriftlich.</w:t>
      </w:r>
    </w:p>
    <w:p w:rsidR="0047245A" w:rsidRDefault="0047245A" w:rsidP="0047245A">
      <w:pPr>
        <w:pStyle w:val="berschrift1"/>
      </w:pPr>
      <w:r>
        <w:lastRenderedPageBreak/>
        <w:t>Lehrerinformation</w:t>
      </w:r>
    </w:p>
    <w:sdt>
      <w:sdtPr>
        <w:id w:val="417445523"/>
        <w:docPartObj>
          <w:docPartGallery w:val="Cover Pages"/>
          <w:docPartUnique/>
        </w:docPartObj>
      </w:sdtPr>
      <w:sdtEndPr/>
      <w:sdtContent>
        <w:p w:rsidR="0047245A" w:rsidRDefault="0047245A" w:rsidP="0047245A">
          <w:pPr>
            <w:jc w:val="left"/>
            <w:rPr>
              <w:b/>
              <w:sz w:val="28"/>
              <w:szCs w:val="28"/>
            </w:rPr>
          </w:pPr>
        </w:p>
        <w:p w:rsidR="0047245A" w:rsidRDefault="0047245A" w:rsidP="0047245A">
          <w:pPr>
            <w:jc w:val="left"/>
          </w:pPr>
          <w:r w:rsidRPr="00D56CB9">
            <w:rPr>
              <w:b/>
            </w:rPr>
            <w:t>Quellenangabe:</w:t>
          </w:r>
          <w:r>
            <w:t xml:space="preserve"> </w:t>
          </w:r>
        </w:p>
        <w:p w:rsidR="0047245A" w:rsidRDefault="0047245A" w:rsidP="0047245A">
          <w:pPr>
            <w:jc w:val="left"/>
          </w:pPr>
          <w:r>
            <w:t xml:space="preserve">Eigene Darstellung in Anlehnung an </w:t>
          </w:r>
          <w:hyperlink r:id="rId18" w:history="1">
            <w:r w:rsidRPr="00C32F17">
              <w:rPr>
                <w:rStyle w:val="Hyperlink"/>
              </w:rPr>
              <w:t>https://www.schulentwicklung.nrw.de/materialdatenbank/material/view/5006</w:t>
            </w:r>
          </w:hyperlink>
          <w:r>
            <w:t xml:space="preserve">. </w:t>
          </w:r>
        </w:p>
        <w:p w:rsidR="0047245A" w:rsidRDefault="0047245A" w:rsidP="0047245A">
          <w:pPr>
            <w:jc w:val="left"/>
          </w:pPr>
          <w:r>
            <w:t>Letzter Zugriff: 27.03.2018.</w:t>
          </w:r>
        </w:p>
        <w:p w:rsidR="0047245A" w:rsidRDefault="0047245A" w:rsidP="0047245A">
          <w:pPr>
            <w:jc w:val="left"/>
          </w:pPr>
        </w:p>
        <w:p w:rsidR="0047245A" w:rsidRDefault="0047245A" w:rsidP="0047245A">
          <w:pPr>
            <w:jc w:val="left"/>
          </w:pPr>
          <w:r w:rsidRPr="00741B81">
            <w:rPr>
              <w:b/>
            </w:rPr>
            <w:t>Zielgruppe:</w:t>
          </w:r>
          <w:r>
            <w:t xml:space="preserve"> Schülerinnen und Schüler im Bildungsgang Gymnasium</w:t>
          </w:r>
        </w:p>
        <w:p w:rsidR="0047245A" w:rsidRDefault="0047245A" w:rsidP="0047245A">
          <w:pPr>
            <w:jc w:val="left"/>
          </w:pPr>
        </w:p>
        <w:p w:rsidR="00A57B56" w:rsidRDefault="0047245A" w:rsidP="0047245A">
          <w:r>
            <w:t xml:space="preserve">Informationen zu </w:t>
          </w:r>
          <w:r w:rsidRPr="00D17213">
            <w:rPr>
              <w:b/>
            </w:rPr>
            <w:t>Kompetenzerwartungen</w:t>
          </w:r>
          <w:r>
            <w:t xml:space="preserve"> und dem </w:t>
          </w:r>
          <w:r w:rsidRPr="00D17213">
            <w:rPr>
              <w:b/>
            </w:rPr>
            <w:t>Bezug zum Kernlehrplan</w:t>
          </w:r>
          <w:r>
            <w:t xml:space="preserve"> sowie </w:t>
          </w:r>
          <w:r w:rsidRPr="00D17213">
            <w:rPr>
              <w:b/>
            </w:rPr>
            <w:t>didaktische Hinweise</w:t>
          </w:r>
          <w:r>
            <w:t xml:space="preserve"> zum Einsatz des Materials im Unterricht befinden sich im Überblick über das Vorhaben „UV 9.6 Wie wichtig ist der rechte Winkel? – Die Sätze von Pythagoras und Thales beweisen und anwenden“ unter dem oben angegebenen Link.</w:t>
          </w:r>
        </w:p>
      </w:sdtContent>
    </w:sdt>
    <w:sectPr w:rsidR="00A57B56" w:rsidSect="00A862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0F" w:rsidRDefault="00D4310F" w:rsidP="00F63D15">
      <w:pPr>
        <w:spacing w:after="0" w:line="240" w:lineRule="auto"/>
      </w:pPr>
      <w:r>
        <w:separator/>
      </w:r>
    </w:p>
  </w:endnote>
  <w:endnote w:type="continuationSeparator" w:id="0">
    <w:p w:rsidR="00D4310F" w:rsidRDefault="00D4310F" w:rsidP="00F6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43482590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Arial"/>
          <w:sz w:val="24"/>
          <w:szCs w:val="22"/>
        </w:rPr>
      </w:sdtEndPr>
      <w:sdtContent>
        <w:tr w:rsidR="00E70534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70534" w:rsidRDefault="00E70534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70534" w:rsidRDefault="00E70534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rPr>
                  <w:noProof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70534" w:rsidRDefault="00E7053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0F" w:rsidRDefault="00D4310F" w:rsidP="00F63D15">
      <w:pPr>
        <w:spacing w:after="0" w:line="240" w:lineRule="auto"/>
      </w:pPr>
      <w:r>
        <w:separator/>
      </w:r>
    </w:p>
  </w:footnote>
  <w:footnote w:type="continuationSeparator" w:id="0">
    <w:p w:rsidR="00D4310F" w:rsidRDefault="00D4310F" w:rsidP="00F6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38" w:rsidRDefault="0060700E" w:rsidP="00791A38">
    <w:pPr>
      <w:pStyle w:val="Fuzeile"/>
    </w:pPr>
    <w:r>
      <w:t>E4</w:t>
    </w:r>
    <w:r>
      <w:tab/>
      <w:t>Die Satzgruppe des Pythagoras – Beweise mit Anleitung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6308B"/>
    <w:multiLevelType w:val="hybridMultilevel"/>
    <w:tmpl w:val="9F5898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66E1D"/>
    <w:multiLevelType w:val="hybridMultilevel"/>
    <w:tmpl w:val="5AEEAECC"/>
    <w:lvl w:ilvl="0" w:tplc="3C0E41FE">
      <w:start w:val="1"/>
      <w:numFmt w:val="lowerLetter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4A3"/>
    <w:rsid w:val="002436DB"/>
    <w:rsid w:val="0047245A"/>
    <w:rsid w:val="0060700E"/>
    <w:rsid w:val="00A57B56"/>
    <w:rsid w:val="00D4310F"/>
    <w:rsid w:val="00E304A3"/>
    <w:rsid w:val="00E70534"/>
    <w:rsid w:val="00F6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04A3"/>
    <w:pPr>
      <w:autoSpaceDE w:val="0"/>
      <w:autoSpaceDN w:val="0"/>
      <w:adjustRightInd w:val="0"/>
      <w:spacing w:after="120"/>
      <w:jc w:val="both"/>
    </w:pPr>
    <w:rPr>
      <w:rFonts w:ascii="Times New Roman" w:eastAsia="Times New Roman" w:hAnsi="Times New Roman" w:cs="Arial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304A3"/>
    <w:pPr>
      <w:spacing w:before="240"/>
      <w:outlineLvl w:val="0"/>
    </w:pPr>
    <w:rPr>
      <w:b/>
      <w:iCs/>
      <w:sz w:val="26"/>
      <w:szCs w:val="26"/>
    </w:rPr>
  </w:style>
  <w:style w:type="paragraph" w:styleId="berschrift2">
    <w:name w:val="heading 2"/>
    <w:basedOn w:val="Standard"/>
    <w:next w:val="Standard"/>
    <w:link w:val="berschrift2Zchn"/>
    <w:qFormat/>
    <w:rsid w:val="00E304A3"/>
    <w:pPr>
      <w:keepNext/>
      <w:pBdr>
        <w:top w:val="dotted" w:sz="4" w:space="18" w:color="auto"/>
      </w:pBdr>
      <w:spacing w:before="120" w:line="240" w:lineRule="auto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304A3"/>
    <w:rPr>
      <w:rFonts w:ascii="Times New Roman" w:eastAsia="Times New Roman" w:hAnsi="Times New Roman" w:cs="Arial"/>
      <w:b/>
      <w:iCs/>
      <w:sz w:val="26"/>
      <w:szCs w:val="26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E304A3"/>
    <w:rPr>
      <w:rFonts w:ascii="Times New Roman" w:eastAsia="Times New Roman" w:hAnsi="Times New Roman" w:cs="Arial"/>
      <w:b/>
      <w:sz w:val="24"/>
      <w:lang w:eastAsia="de-DE"/>
    </w:rPr>
  </w:style>
  <w:style w:type="paragraph" w:styleId="Listenabsatz">
    <w:name w:val="List Paragraph"/>
    <w:basedOn w:val="Standard"/>
    <w:uiPriority w:val="34"/>
    <w:qFormat/>
    <w:rsid w:val="00E304A3"/>
    <w:pPr>
      <w:numPr>
        <w:numId w:val="1"/>
      </w:numPr>
      <w:spacing w:before="120" w:line="360" w:lineRule="auto"/>
      <w:jc w:val="left"/>
    </w:pPr>
  </w:style>
  <w:style w:type="paragraph" w:customStyle="1" w:styleId="Tafel1">
    <w:name w:val="Tafel1"/>
    <w:basedOn w:val="Standard"/>
    <w:link w:val="Tafel1Zchn"/>
    <w:qFormat/>
    <w:rsid w:val="00E304A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spacing w:after="100" w:line="300" w:lineRule="auto"/>
      <w:ind w:left="426" w:right="565"/>
      <w:jc w:val="left"/>
    </w:pPr>
    <w:rPr>
      <w:rFonts w:ascii="Liberation Serif" w:hAnsi="Liberation Serif"/>
      <w:sz w:val="22"/>
    </w:rPr>
  </w:style>
  <w:style w:type="character" w:customStyle="1" w:styleId="Tafel1Zchn">
    <w:name w:val="Tafel1 Zchn"/>
    <w:basedOn w:val="Absatz-Standardschriftart"/>
    <w:link w:val="Tafel1"/>
    <w:rsid w:val="00E304A3"/>
    <w:rPr>
      <w:rFonts w:ascii="Liberation Serif" w:eastAsia="Times New Roman" w:hAnsi="Liberation Serif" w:cs="Arial"/>
      <w:lang w:eastAsia="de-DE"/>
    </w:rPr>
  </w:style>
  <w:style w:type="paragraph" w:customStyle="1" w:styleId="Tafel2">
    <w:name w:val="Tafel2"/>
    <w:basedOn w:val="Tafel1"/>
    <w:link w:val="Tafel2Zchn"/>
    <w:qFormat/>
    <w:rsid w:val="00E304A3"/>
    <w:pPr>
      <w:tabs>
        <w:tab w:val="left" w:pos="851"/>
      </w:tabs>
      <w:ind w:left="851" w:hanging="425"/>
    </w:pPr>
  </w:style>
  <w:style w:type="character" w:customStyle="1" w:styleId="Tafel2Zchn">
    <w:name w:val="Tafel2 Zchn"/>
    <w:basedOn w:val="Tafel1Zchn"/>
    <w:link w:val="Tafel2"/>
    <w:rsid w:val="00E304A3"/>
    <w:rPr>
      <w:rFonts w:ascii="Liberation Serif" w:eastAsia="Times New Roman" w:hAnsi="Liberation Serif" w:cs="Arial"/>
      <w:lang w:eastAsia="de-DE"/>
    </w:rPr>
  </w:style>
  <w:style w:type="paragraph" w:styleId="Fuzeile">
    <w:name w:val="footer"/>
    <w:basedOn w:val="Standard"/>
    <w:link w:val="FuzeileZchn"/>
    <w:uiPriority w:val="99"/>
    <w:rsid w:val="00E30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04A3"/>
    <w:rPr>
      <w:rFonts w:ascii="Times New Roman" w:eastAsia="Times New Roman" w:hAnsi="Times New Roman" w:cs="Arial"/>
      <w:sz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04A3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07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700E"/>
    <w:rPr>
      <w:rFonts w:ascii="Times New Roman" w:eastAsia="Times New Roman" w:hAnsi="Times New Roman" w:cs="Arial"/>
      <w:sz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4724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www.schulentwicklung.nrw.de/materialdatenbank/material/view/500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07/relationships/hdphoto" Target="media/hdphoto1.wdp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A88CD-3BAC-4518-9629-169DFCBC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9BC3787A.dotm</Template>
  <TotalTime>0</TotalTime>
  <Pages>4</Pages>
  <Words>305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Inklusiver Fachunterricht - Mathematik</dc:title>
  <dc:subject>Wie wichtig ist der rechte Winkel?</dc:subject>
  <dc:creator>MSB-NRW; Ina</dc:creator>
  <cp:keywords>inklusiver Fachunterricht, Mathematik, rechter Winkel, Lernaufgaben</cp:keywords>
  <cp:lastModifiedBy>Eßer, Susanne</cp:lastModifiedBy>
  <cp:revision>3</cp:revision>
  <dcterms:created xsi:type="dcterms:W3CDTF">2017-02-27T11:11:00Z</dcterms:created>
  <dcterms:modified xsi:type="dcterms:W3CDTF">2018-07-02T13:32:00Z</dcterms:modified>
</cp:coreProperties>
</file>