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B23" w:rsidRPr="003136DD" w:rsidRDefault="008A1B23" w:rsidP="008A1B23">
      <w:pPr>
        <w:rPr>
          <w:b/>
          <w:sz w:val="28"/>
          <w:szCs w:val="28"/>
        </w:rPr>
      </w:pPr>
      <w:bookmarkStart w:id="0" w:name="_GoBack"/>
      <w:bookmarkEnd w:id="0"/>
      <w:r w:rsidRPr="003136DD">
        <w:rPr>
          <w:b/>
          <w:sz w:val="28"/>
          <w:szCs w:val="28"/>
        </w:rPr>
        <w:t>Kochsalzkristalle anschauen und beschreiben</w:t>
      </w:r>
    </w:p>
    <w:p w:rsidR="008A1B23" w:rsidRPr="003136DD" w:rsidRDefault="003136DD" w:rsidP="008A1B23">
      <w:pPr>
        <w:pStyle w:val="Funotentext"/>
        <w:rPr>
          <w:b/>
          <w:sz w:val="24"/>
        </w:rPr>
      </w:pPr>
      <w:r>
        <w:rPr>
          <w:sz w:val="24"/>
        </w:rPr>
        <w:br/>
      </w:r>
      <w:r w:rsidR="008A1B23" w:rsidRPr="003136DD">
        <w:rPr>
          <w:b/>
          <w:sz w:val="24"/>
        </w:rPr>
        <w:t>Lehrerinformation:</w:t>
      </w:r>
      <w:r>
        <w:rPr>
          <w:b/>
          <w:sz w:val="24"/>
        </w:rPr>
        <w:br/>
      </w:r>
    </w:p>
    <w:p w:rsidR="008A1B23" w:rsidRDefault="008A1B23" w:rsidP="008A1B23">
      <w:pPr>
        <w:pStyle w:val="Funotentext"/>
        <w:rPr>
          <w:sz w:val="24"/>
        </w:rPr>
      </w:pPr>
      <w:r>
        <w:rPr>
          <w:sz w:val="24"/>
        </w:rPr>
        <w:t xml:space="preserve">Bezogen auf Feld 1a des Lernstrukturgitters handelt es sich hierbei um eine Aufgabe, die von allen Schülerinnen und Schülern </w:t>
      </w:r>
      <w:r w:rsidR="009434F7">
        <w:rPr>
          <w:sz w:val="24"/>
        </w:rPr>
        <w:t>in</w:t>
      </w:r>
      <w:r>
        <w:rPr>
          <w:sz w:val="24"/>
        </w:rPr>
        <w:t xml:space="preserve"> unterschiedlichen Bildungsgängen bearbeitet werden kann. Durch verschiedene Zugänge und alternative Aufgabenstellungen k</w:t>
      </w:r>
      <w:r w:rsidR="00AF486C">
        <w:rPr>
          <w:sz w:val="24"/>
        </w:rPr>
        <w:t>ö</w:t>
      </w:r>
      <w:r>
        <w:rPr>
          <w:sz w:val="24"/>
        </w:rPr>
        <w:t>nn</w:t>
      </w:r>
      <w:r w:rsidR="00AF486C">
        <w:rPr>
          <w:sz w:val="24"/>
        </w:rPr>
        <w:t>en</w:t>
      </w:r>
      <w:r>
        <w:rPr>
          <w:sz w:val="24"/>
        </w:rPr>
        <w:t xml:space="preserve"> der </w:t>
      </w:r>
      <w:r w:rsidRPr="009434F7">
        <w:rPr>
          <w:sz w:val="24"/>
          <w:u w:val="single"/>
        </w:rPr>
        <w:t>kognitive Anspruch</w:t>
      </w:r>
      <w:r w:rsidR="009434F7">
        <w:rPr>
          <w:rStyle w:val="Funotenzeichen"/>
          <w:sz w:val="24"/>
          <w:u w:val="single"/>
        </w:rPr>
        <w:footnoteReference w:id="1"/>
      </w:r>
      <w:r>
        <w:rPr>
          <w:sz w:val="24"/>
        </w:rPr>
        <w:t xml:space="preserve">, aber auch die </w:t>
      </w:r>
      <w:r w:rsidRPr="009434F7">
        <w:rPr>
          <w:sz w:val="24"/>
          <w:u w:val="single"/>
        </w:rPr>
        <w:t>Anforderung an die Feinmotorik</w:t>
      </w:r>
      <w:r w:rsidR="009434F7">
        <w:rPr>
          <w:rStyle w:val="Funotenzeichen"/>
          <w:sz w:val="24"/>
          <w:u w:val="single"/>
        </w:rPr>
        <w:footnoteReference w:id="2"/>
      </w:r>
      <w:r>
        <w:rPr>
          <w:sz w:val="24"/>
        </w:rPr>
        <w:t xml:space="preserve"> stark variiert werden.</w:t>
      </w:r>
    </w:p>
    <w:p w:rsidR="008A1B23" w:rsidRDefault="008A1B23" w:rsidP="008A1B23">
      <w:pPr>
        <w:pStyle w:val="Funotentext"/>
        <w:rPr>
          <w:sz w:val="24"/>
        </w:rPr>
      </w:pPr>
    </w:p>
    <w:p w:rsidR="009434F7" w:rsidRDefault="008A1B23" w:rsidP="008A1B23">
      <w:pPr>
        <w:pStyle w:val="Funotentext"/>
        <w:rPr>
          <w:sz w:val="24"/>
        </w:rPr>
      </w:pPr>
      <w:r>
        <w:rPr>
          <w:sz w:val="24"/>
        </w:rPr>
        <w:t xml:space="preserve">Schülerinnen und Schüler </w:t>
      </w:r>
      <w:r w:rsidR="009434F7">
        <w:rPr>
          <w:sz w:val="24"/>
        </w:rPr>
        <w:t xml:space="preserve">im Bildungsgang der Gesamtschule sollten in der Klasse 9 </w:t>
      </w:r>
      <w:r>
        <w:rPr>
          <w:sz w:val="24"/>
        </w:rPr>
        <w:t xml:space="preserve">in der Lage sein, die Anforderungen an eine wissenschaftliche Zeichnung von Salzkristallen zu bewältigen. </w:t>
      </w:r>
    </w:p>
    <w:p w:rsidR="009434F7" w:rsidRDefault="009434F7" w:rsidP="009434F7">
      <w:pPr>
        <w:pStyle w:val="Funotentext"/>
        <w:spacing w:line="276" w:lineRule="auto"/>
        <w:rPr>
          <w:sz w:val="24"/>
        </w:rPr>
      </w:pPr>
      <w:r>
        <w:rPr>
          <w:sz w:val="24"/>
        </w:rPr>
        <w:br/>
      </w:r>
      <w:r w:rsidRPr="0059463C">
        <w:rPr>
          <w:b/>
          <w:sz w:val="24"/>
          <w:szCs w:val="28"/>
        </w:rPr>
        <w:t>Impulse zur Binnendifferenzieru</w:t>
      </w:r>
      <w:r>
        <w:rPr>
          <w:b/>
          <w:sz w:val="24"/>
          <w:szCs w:val="28"/>
        </w:rPr>
        <w:t>ng / zum zieldifferenten Lernen</w:t>
      </w:r>
      <w:r>
        <w:rPr>
          <w:b/>
          <w:sz w:val="24"/>
          <w:szCs w:val="28"/>
        </w:rPr>
        <w:br/>
      </w:r>
    </w:p>
    <w:p w:rsidR="008A1B23" w:rsidRDefault="008A1B23" w:rsidP="008A1B23">
      <w:pPr>
        <w:pStyle w:val="Funotentext"/>
        <w:rPr>
          <w:sz w:val="24"/>
        </w:rPr>
      </w:pPr>
      <w:r>
        <w:rPr>
          <w:sz w:val="24"/>
        </w:rPr>
        <w:t xml:space="preserve">Alternativ </w:t>
      </w:r>
      <w:r w:rsidR="009434F7">
        <w:rPr>
          <w:sz w:val="24"/>
        </w:rPr>
        <w:t>zu einer Zeichnung k</w:t>
      </w:r>
      <w:r>
        <w:rPr>
          <w:sz w:val="24"/>
        </w:rPr>
        <w:t>önnen auch</w:t>
      </w:r>
      <w:r w:rsidRPr="008A1B23">
        <w:rPr>
          <w:sz w:val="24"/>
        </w:rPr>
        <w:t xml:space="preserve"> Fotos angefertigt werden. Hierbei kann die Zoomfunktionen genutzt werden, um auch vom Mühlensalz </w:t>
      </w:r>
      <w:r w:rsidR="009434F7">
        <w:rPr>
          <w:sz w:val="24"/>
        </w:rPr>
        <w:t>anschauliche</w:t>
      </w:r>
      <w:r w:rsidRPr="008A1B23">
        <w:rPr>
          <w:sz w:val="24"/>
        </w:rPr>
        <w:t xml:space="preserve"> Bilder zu erhalten. Dieser Alternative bietet sich </w:t>
      </w:r>
      <w:r w:rsidR="009434F7">
        <w:rPr>
          <w:sz w:val="24"/>
        </w:rPr>
        <w:t xml:space="preserve">insbesondere </w:t>
      </w:r>
      <w:r w:rsidRPr="008A1B23">
        <w:rPr>
          <w:sz w:val="24"/>
        </w:rPr>
        <w:t>an, wenn Schüler</w:t>
      </w:r>
      <w:r>
        <w:rPr>
          <w:sz w:val="24"/>
        </w:rPr>
        <w:t>innen und Schüler</w:t>
      </w:r>
      <w:r w:rsidRPr="008A1B23">
        <w:rPr>
          <w:sz w:val="24"/>
        </w:rPr>
        <w:t xml:space="preserve"> </w:t>
      </w:r>
      <w:proofErr w:type="spellStart"/>
      <w:r w:rsidRPr="008A1B23">
        <w:rPr>
          <w:sz w:val="24"/>
        </w:rPr>
        <w:t>grafomotorisch</w:t>
      </w:r>
      <w:proofErr w:type="spellEnd"/>
      <w:r w:rsidRPr="008A1B23">
        <w:rPr>
          <w:sz w:val="24"/>
        </w:rPr>
        <w:t xml:space="preserve"> stark eingeschränkt sind. </w:t>
      </w:r>
    </w:p>
    <w:p w:rsidR="008A1B23" w:rsidRDefault="008A1B23" w:rsidP="008A1B23">
      <w:pPr>
        <w:pStyle w:val="Funotentext"/>
        <w:rPr>
          <w:sz w:val="24"/>
        </w:rPr>
      </w:pPr>
    </w:p>
    <w:p w:rsidR="008A1B23" w:rsidRDefault="008A1B23" w:rsidP="008A1B23">
      <w:pPr>
        <w:pStyle w:val="Funotentext"/>
        <w:rPr>
          <w:sz w:val="24"/>
        </w:rPr>
      </w:pPr>
      <w:r>
        <w:rPr>
          <w:sz w:val="24"/>
        </w:rPr>
        <w:t>Neben Mühlen- oder Kochsalz</w:t>
      </w:r>
      <w:r w:rsidRPr="008A1B23">
        <w:rPr>
          <w:sz w:val="24"/>
        </w:rPr>
        <w:t xml:space="preserve"> können auch andere Kristalle mit eingebunden werden, um die Vielfalt der Kristalle zu verdeutlichen. </w:t>
      </w:r>
      <w:r>
        <w:rPr>
          <w:sz w:val="24"/>
        </w:rPr>
        <w:t>Dadurch wird neben der Größe auch die Form und Farbe des Kristalls geändert.</w:t>
      </w:r>
    </w:p>
    <w:p w:rsidR="008A1B23" w:rsidRPr="008A1B23" w:rsidRDefault="008A1B23" w:rsidP="008A1B23">
      <w:pPr>
        <w:pStyle w:val="Funotentext"/>
        <w:rPr>
          <w:sz w:val="24"/>
        </w:rPr>
      </w:pPr>
    </w:p>
    <w:p w:rsidR="008A1B23" w:rsidRPr="008A1B23" w:rsidRDefault="008A1B23" w:rsidP="008A1B23">
      <w:pPr>
        <w:pStyle w:val="Funotentext"/>
        <w:rPr>
          <w:sz w:val="24"/>
        </w:rPr>
      </w:pPr>
      <w:r>
        <w:rPr>
          <w:sz w:val="24"/>
        </w:rPr>
        <w:t>F</w:t>
      </w:r>
      <w:r w:rsidRPr="008A1B23">
        <w:rPr>
          <w:sz w:val="24"/>
        </w:rPr>
        <w:t xml:space="preserve">ür </w:t>
      </w:r>
      <w:r w:rsidR="009434F7">
        <w:rPr>
          <w:sz w:val="24"/>
        </w:rPr>
        <w:t>sprachlich begabte oder schnell arbeitende</w:t>
      </w:r>
      <w:r w:rsidRPr="008A1B23">
        <w:rPr>
          <w:sz w:val="24"/>
        </w:rPr>
        <w:t xml:space="preserve"> Schülerinnen und Schüler kann die Aufgaben um das Beschreiben der Kristalle erweitert werden. </w:t>
      </w:r>
    </w:p>
    <w:p w:rsidR="008A1B23" w:rsidRPr="008A1B23" w:rsidRDefault="008A1B23" w:rsidP="00216554">
      <w:pPr>
        <w:rPr>
          <w:sz w:val="40"/>
          <w:szCs w:val="32"/>
        </w:rPr>
      </w:pPr>
    </w:p>
    <w:p w:rsidR="009434F7" w:rsidRDefault="009434F7" w:rsidP="009434F7">
      <w:pPr>
        <w:pStyle w:val="Aufklapper"/>
        <w:ind w:left="0"/>
        <w:jc w:val="left"/>
        <w:rPr>
          <w:rFonts w:asciiTheme="minorHAnsi" w:eastAsiaTheme="minorHAnsi" w:hAnsiTheme="minorHAnsi" w:cstheme="minorBidi"/>
          <w:color w:val="auto"/>
          <w:sz w:val="24"/>
        </w:rPr>
      </w:pPr>
      <w:r w:rsidRPr="0094467B">
        <w:rPr>
          <w:rFonts w:asciiTheme="minorHAnsi" w:eastAsiaTheme="minorHAnsi" w:hAnsiTheme="minorHAnsi" w:cstheme="minorBidi"/>
          <w:b/>
          <w:color w:val="auto"/>
          <w:sz w:val="24"/>
        </w:rPr>
        <w:t>Entwicklungschancen:</w:t>
      </w:r>
      <w:r>
        <w:rPr>
          <w:rFonts w:asciiTheme="minorHAnsi" w:eastAsiaTheme="minorHAnsi" w:hAnsiTheme="minorHAnsi" w:cstheme="minorBidi"/>
          <w:b/>
          <w:color w:val="auto"/>
          <w:sz w:val="24"/>
        </w:rPr>
        <w:br/>
      </w:r>
      <w:r w:rsidRPr="0094467B">
        <w:rPr>
          <w:rFonts w:asciiTheme="minorHAnsi" w:eastAsiaTheme="minorHAnsi" w:hAnsiTheme="minorHAnsi" w:cstheme="minorBidi"/>
          <w:color w:val="auto"/>
          <w:sz w:val="24"/>
        </w:rPr>
        <w:t>Im zieldifferenten Lernen kann sowohl ein Zugang über das fachliche Lernen als auch über die Entwicklungschancen gelegt werden.</w:t>
      </w:r>
      <w:r w:rsidRPr="0094467B">
        <w:rPr>
          <w:rFonts w:asciiTheme="minorHAnsi" w:eastAsiaTheme="minorHAnsi" w:hAnsiTheme="minorHAnsi" w:cstheme="minorBidi"/>
          <w:sz w:val="24"/>
        </w:rPr>
        <w:footnoteReference w:id="3"/>
      </w:r>
      <w:r w:rsidRPr="0094467B">
        <w:rPr>
          <w:rFonts w:asciiTheme="minorHAnsi" w:eastAsiaTheme="minorHAnsi" w:hAnsiTheme="minorHAnsi" w:cstheme="minorBidi"/>
          <w:color w:val="auto"/>
          <w:sz w:val="24"/>
        </w:rPr>
        <w:t xml:space="preserve"> </w:t>
      </w:r>
    </w:p>
    <w:p w:rsidR="009434F7" w:rsidRDefault="009434F7" w:rsidP="009434F7">
      <w:pPr>
        <w:pStyle w:val="Aufklapper"/>
        <w:ind w:left="0"/>
        <w:jc w:val="left"/>
        <w:rPr>
          <w:rFonts w:asciiTheme="minorHAnsi" w:eastAsiaTheme="minorHAnsi" w:hAnsiTheme="minorHAnsi" w:cstheme="minorBidi"/>
          <w:color w:val="auto"/>
          <w:sz w:val="24"/>
        </w:rPr>
      </w:pPr>
      <w:r>
        <w:rPr>
          <w:rFonts w:asciiTheme="minorHAnsi" w:eastAsiaTheme="minorHAnsi" w:hAnsiTheme="minorHAnsi" w:cstheme="minorBidi"/>
          <w:color w:val="auto"/>
          <w:sz w:val="24"/>
        </w:rPr>
        <w:t xml:space="preserve">In diesem Unterrichtssetting können auf der Grundlage der individuellen </w:t>
      </w:r>
      <w:r w:rsidRPr="008356E8">
        <w:rPr>
          <w:rFonts w:asciiTheme="minorHAnsi" w:eastAsiaTheme="minorHAnsi" w:hAnsiTheme="minorHAnsi" w:cstheme="minorBidi"/>
          <w:color w:val="auto"/>
          <w:sz w:val="24"/>
          <w:u w:val="single"/>
        </w:rPr>
        <w:t>Lern- und Entwicklungsplanung</w:t>
      </w:r>
      <w:r>
        <w:rPr>
          <w:rStyle w:val="Funotenzeichen"/>
          <w:rFonts w:asciiTheme="minorHAnsi" w:eastAsiaTheme="minorHAnsi" w:hAnsiTheme="minorHAnsi" w:cstheme="minorBidi"/>
          <w:color w:val="auto"/>
          <w:sz w:val="24"/>
          <w:u w:val="single"/>
        </w:rPr>
        <w:footnoteReference w:id="4"/>
      </w:r>
      <w:r>
        <w:rPr>
          <w:rFonts w:asciiTheme="minorHAnsi" w:eastAsiaTheme="minorHAnsi" w:hAnsiTheme="minorHAnsi" w:cstheme="minorBidi"/>
          <w:color w:val="auto"/>
          <w:sz w:val="24"/>
        </w:rPr>
        <w:t xml:space="preserve"> schwerpunktmäßig folgende Entwicklungschancen zum Tragen kommen:</w:t>
      </w:r>
      <w:r>
        <w:rPr>
          <w:rFonts w:asciiTheme="minorHAnsi" w:eastAsiaTheme="minorHAnsi" w:hAnsiTheme="minorHAnsi" w:cstheme="minorBidi"/>
          <w:color w:val="auto"/>
          <w:sz w:val="24"/>
        </w:rPr>
        <w:br/>
      </w:r>
    </w:p>
    <w:p w:rsidR="009434F7" w:rsidRDefault="009434F7">
      <w:pPr>
        <w:spacing w:after="200" w:line="276" w:lineRule="auto"/>
        <w:rPr>
          <w:sz w:val="24"/>
        </w:rPr>
      </w:pPr>
      <w:r>
        <w:rPr>
          <w:sz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2"/>
        <w:gridCol w:w="2451"/>
        <w:gridCol w:w="3321"/>
      </w:tblGrid>
      <w:tr w:rsidR="009434F7" w:rsidRPr="003D03FB" w:rsidTr="00953E24">
        <w:trPr>
          <w:trHeight w:val="69"/>
        </w:trPr>
        <w:tc>
          <w:tcPr>
            <w:tcW w:w="2412" w:type="dxa"/>
            <w:shd w:val="clear" w:color="auto" w:fill="FFFFFF" w:themeFill="background1"/>
            <w:vAlign w:val="center"/>
          </w:tcPr>
          <w:p w:rsidR="009434F7" w:rsidRPr="003D03FB" w:rsidRDefault="009434F7" w:rsidP="00953E24">
            <w:pPr>
              <w:rPr>
                <w:b/>
              </w:rPr>
            </w:pPr>
            <w:r w:rsidRPr="003D03FB">
              <w:rPr>
                <w:b/>
              </w:rPr>
              <w:lastRenderedPageBreak/>
              <w:t>Entwicklungsbereiche</w:t>
            </w:r>
          </w:p>
        </w:tc>
        <w:tc>
          <w:tcPr>
            <w:tcW w:w="2451" w:type="dxa"/>
            <w:shd w:val="clear" w:color="auto" w:fill="FFFFFF" w:themeFill="background1"/>
          </w:tcPr>
          <w:p w:rsidR="009434F7" w:rsidRPr="00C46AC9" w:rsidRDefault="009434F7" w:rsidP="00953E24">
            <w:pPr>
              <w:rPr>
                <w:b/>
              </w:rPr>
            </w:pPr>
            <w:r w:rsidRPr="003D03FB">
              <w:rPr>
                <w:b/>
              </w:rPr>
              <w:t>Chancen für die Förderung</w:t>
            </w:r>
          </w:p>
        </w:tc>
        <w:tc>
          <w:tcPr>
            <w:tcW w:w="3321" w:type="dxa"/>
            <w:shd w:val="clear" w:color="auto" w:fill="FFFFFF" w:themeFill="background1"/>
            <w:vAlign w:val="center"/>
          </w:tcPr>
          <w:p w:rsidR="009434F7" w:rsidRPr="003D03FB" w:rsidRDefault="009434F7" w:rsidP="00953E24">
            <w:pPr>
              <w:rPr>
                <w:b/>
              </w:rPr>
            </w:pPr>
            <w:r w:rsidRPr="00C46AC9">
              <w:rPr>
                <w:b/>
              </w:rPr>
              <w:t xml:space="preserve"> (Mögliche) Konkretisierung</w:t>
            </w:r>
          </w:p>
        </w:tc>
      </w:tr>
      <w:tr w:rsidR="009434F7" w:rsidRPr="003D03FB" w:rsidTr="00953E24">
        <w:trPr>
          <w:trHeight w:val="69"/>
        </w:trPr>
        <w:tc>
          <w:tcPr>
            <w:tcW w:w="2412" w:type="dxa"/>
            <w:shd w:val="clear" w:color="auto" w:fill="FFFFFF" w:themeFill="background1"/>
            <w:vAlign w:val="center"/>
          </w:tcPr>
          <w:p w:rsidR="009434F7" w:rsidRPr="00C4464D" w:rsidRDefault="009434F7" w:rsidP="00953E24">
            <w:pPr>
              <w:rPr>
                <w:rFonts w:cs="Arial"/>
              </w:rPr>
            </w:pPr>
            <w:r w:rsidRPr="00C4464D">
              <w:rPr>
                <w:rFonts w:cs="Arial"/>
              </w:rPr>
              <w:t xml:space="preserve">sprachliches </w:t>
            </w:r>
            <w:r>
              <w:rPr>
                <w:rFonts w:cs="Arial"/>
              </w:rPr>
              <w:t xml:space="preserve">und kommunikatives </w:t>
            </w:r>
            <w:r>
              <w:rPr>
                <w:rFonts w:cs="Arial"/>
              </w:rPr>
              <w:br/>
            </w:r>
            <w:r w:rsidRPr="00C4464D">
              <w:rPr>
                <w:rFonts w:cs="Arial"/>
              </w:rPr>
              <w:t>Handeln</w:t>
            </w:r>
          </w:p>
        </w:tc>
        <w:tc>
          <w:tcPr>
            <w:tcW w:w="2451" w:type="dxa"/>
            <w:shd w:val="clear" w:color="auto" w:fill="FFFFFF" w:themeFill="background1"/>
          </w:tcPr>
          <w:p w:rsidR="009434F7" w:rsidRDefault="009434F7" w:rsidP="00953E24">
            <w:pPr>
              <w:rPr>
                <w:rFonts w:cs="Arial"/>
                <w:lang w:val="en-US"/>
              </w:rPr>
            </w:pPr>
            <w:r w:rsidRPr="008D42CC">
              <w:rPr>
                <w:rFonts w:cs="Arial"/>
                <w:lang w:val="en-US"/>
              </w:rPr>
              <w:t xml:space="preserve">1a-5e: </w:t>
            </w:r>
            <w:proofErr w:type="spellStart"/>
            <w:r w:rsidRPr="008D42CC">
              <w:rPr>
                <w:rFonts w:cs="Arial"/>
                <w:lang w:val="en-US"/>
              </w:rPr>
              <w:t>Beachtung</w:t>
            </w:r>
            <w:proofErr w:type="spellEnd"/>
            <w:r w:rsidRPr="008D42CC">
              <w:rPr>
                <w:rFonts w:cs="Arial"/>
                <w:lang w:val="en-US"/>
              </w:rPr>
              <w:t xml:space="preserve"> von </w:t>
            </w:r>
            <w:proofErr w:type="spellStart"/>
            <w:r w:rsidRPr="008D42CC">
              <w:rPr>
                <w:rFonts w:cs="Arial"/>
                <w:lang w:val="en-US"/>
              </w:rPr>
              <w:t>Gesprächsregeln</w:t>
            </w:r>
            <w:proofErr w:type="spellEnd"/>
          </w:p>
          <w:p w:rsidR="009434F7" w:rsidRPr="008D42CC" w:rsidRDefault="009434F7" w:rsidP="00953E24">
            <w:pPr>
              <w:rPr>
                <w:rFonts w:cs="Arial"/>
                <w:lang w:val="en-US"/>
              </w:rPr>
            </w:pPr>
          </w:p>
          <w:p w:rsidR="009434F7" w:rsidRPr="008D42CC" w:rsidRDefault="009434F7" w:rsidP="00953E24">
            <w:pPr>
              <w:rPr>
                <w:rFonts w:cs="Arial"/>
                <w:lang w:val="en-US"/>
              </w:rPr>
            </w:pPr>
          </w:p>
          <w:p w:rsidR="009434F7" w:rsidRPr="008D42CC" w:rsidRDefault="009434F7" w:rsidP="00953E24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br/>
            </w:r>
            <w:r w:rsidRPr="008D42CC">
              <w:rPr>
                <w:rFonts w:cs="Arial"/>
                <w:lang w:val="en-US"/>
              </w:rPr>
              <w:t xml:space="preserve">1a-5e: </w:t>
            </w:r>
            <w:proofErr w:type="spellStart"/>
            <w:r w:rsidRPr="008D42CC">
              <w:rPr>
                <w:rFonts w:cs="Arial"/>
                <w:lang w:val="en-US"/>
              </w:rPr>
              <w:t>Vereinfachung</w:t>
            </w:r>
            <w:proofErr w:type="spellEnd"/>
            <w:r w:rsidRPr="008D42CC">
              <w:rPr>
                <w:rFonts w:cs="Arial"/>
                <w:lang w:val="en-US"/>
              </w:rPr>
              <w:t xml:space="preserve"> </w:t>
            </w:r>
            <w:proofErr w:type="spellStart"/>
            <w:r w:rsidRPr="008D42CC">
              <w:rPr>
                <w:rFonts w:cs="Arial"/>
                <w:lang w:val="en-US"/>
              </w:rPr>
              <w:t>sprachlicher</w:t>
            </w:r>
            <w:proofErr w:type="spellEnd"/>
            <w:r w:rsidRPr="008D42CC">
              <w:rPr>
                <w:rFonts w:cs="Arial"/>
                <w:lang w:val="en-US"/>
              </w:rPr>
              <w:t xml:space="preserve"> </w:t>
            </w:r>
            <w:proofErr w:type="spellStart"/>
            <w:r w:rsidRPr="008D42CC">
              <w:rPr>
                <w:rFonts w:cs="Arial"/>
                <w:lang w:val="en-US"/>
              </w:rPr>
              <w:t>Handlungen</w:t>
            </w:r>
            <w:proofErr w:type="spellEnd"/>
          </w:p>
          <w:p w:rsidR="009434F7" w:rsidRDefault="009434F7" w:rsidP="00953E24">
            <w:pPr>
              <w:rPr>
                <w:rFonts w:cs="Arial"/>
                <w:lang w:val="en-US"/>
              </w:rPr>
            </w:pPr>
          </w:p>
          <w:p w:rsidR="009434F7" w:rsidRDefault="009434F7" w:rsidP="00953E24">
            <w:pPr>
              <w:rPr>
                <w:rFonts w:cs="Arial"/>
                <w:lang w:val="en-US"/>
              </w:rPr>
            </w:pPr>
          </w:p>
          <w:p w:rsidR="009434F7" w:rsidRDefault="009434F7" w:rsidP="00953E24">
            <w:pPr>
              <w:rPr>
                <w:rFonts w:cs="Arial"/>
                <w:lang w:val="en-US"/>
              </w:rPr>
            </w:pPr>
          </w:p>
          <w:p w:rsidR="009434F7" w:rsidRDefault="009434F7" w:rsidP="00953E24">
            <w:pPr>
              <w:rPr>
                <w:rFonts w:cs="Arial"/>
                <w:lang w:val="en-US"/>
              </w:rPr>
            </w:pPr>
          </w:p>
          <w:p w:rsidR="009434F7" w:rsidRPr="008D42CC" w:rsidRDefault="009434F7" w:rsidP="00953E24">
            <w:pPr>
              <w:rPr>
                <w:rFonts w:cs="Arial"/>
                <w:lang w:val="en-US"/>
              </w:rPr>
            </w:pPr>
            <w:r w:rsidRPr="008D42CC">
              <w:rPr>
                <w:rFonts w:cs="Arial"/>
                <w:lang w:val="en-US"/>
              </w:rPr>
              <w:tab/>
            </w:r>
          </w:p>
          <w:p w:rsidR="009434F7" w:rsidRPr="00C46AC9" w:rsidRDefault="009434F7" w:rsidP="00953E24">
            <w:pPr>
              <w:rPr>
                <w:rFonts w:cs="Arial"/>
                <w:lang w:val="en-US"/>
              </w:rPr>
            </w:pPr>
          </w:p>
        </w:tc>
        <w:tc>
          <w:tcPr>
            <w:tcW w:w="3321" w:type="dxa"/>
            <w:shd w:val="clear" w:color="auto" w:fill="FFFFFF" w:themeFill="background1"/>
          </w:tcPr>
          <w:p w:rsidR="009434F7" w:rsidRPr="008D42CC" w:rsidRDefault="009434F7" w:rsidP="00953E24">
            <w:pPr>
              <w:rPr>
                <w:rFonts w:cs="Arial"/>
                <w:lang w:val="en-US"/>
              </w:rPr>
            </w:pPr>
            <w:r>
              <w:rPr>
                <w:rFonts w:cs="Arial"/>
              </w:rPr>
              <w:t xml:space="preserve">- </w:t>
            </w:r>
            <w:proofErr w:type="spellStart"/>
            <w:r w:rsidRPr="008D42CC">
              <w:rPr>
                <w:rFonts w:cs="Arial"/>
                <w:lang w:val="en-US"/>
              </w:rPr>
              <w:t>Tischkarte</w:t>
            </w:r>
            <w:proofErr w:type="spellEnd"/>
            <w:r w:rsidRPr="008D42CC">
              <w:rPr>
                <w:rFonts w:cs="Arial"/>
                <w:lang w:val="en-US"/>
              </w:rPr>
              <w:t xml:space="preserve"> </w:t>
            </w:r>
            <w:proofErr w:type="spellStart"/>
            <w:r w:rsidRPr="008D42CC">
              <w:rPr>
                <w:rFonts w:cs="Arial"/>
                <w:lang w:val="en-US"/>
              </w:rPr>
              <w:t>mit</w:t>
            </w:r>
            <w:proofErr w:type="spellEnd"/>
            <w:r w:rsidRPr="008D42CC">
              <w:rPr>
                <w:rFonts w:cs="Arial"/>
                <w:lang w:val="en-US"/>
              </w:rPr>
              <w:t xml:space="preserve"> </w:t>
            </w:r>
            <w:proofErr w:type="spellStart"/>
            <w:r w:rsidRPr="008D42CC">
              <w:rPr>
                <w:rFonts w:cs="Arial"/>
                <w:lang w:val="en-US"/>
              </w:rPr>
              <w:t>Ziel</w:t>
            </w:r>
            <w:proofErr w:type="spellEnd"/>
            <w:r w:rsidRPr="008D42CC">
              <w:rPr>
                <w:rFonts w:cs="Arial"/>
                <w:lang w:val="en-US"/>
              </w:rPr>
              <w:t xml:space="preserve"> „</w:t>
            </w:r>
            <w:proofErr w:type="spellStart"/>
            <w:r w:rsidRPr="008D42CC">
              <w:rPr>
                <w:rFonts w:cs="Arial"/>
                <w:lang w:val="en-US"/>
              </w:rPr>
              <w:t>Ich</w:t>
            </w:r>
            <w:proofErr w:type="spellEnd"/>
            <w:r w:rsidRPr="008D42CC">
              <w:rPr>
                <w:rFonts w:cs="Arial"/>
                <w:lang w:val="en-US"/>
              </w:rPr>
              <w:t xml:space="preserve"> </w:t>
            </w:r>
            <w:proofErr w:type="spellStart"/>
            <w:r w:rsidRPr="008D42CC">
              <w:rPr>
                <w:rFonts w:cs="Arial"/>
                <w:lang w:val="en-US"/>
              </w:rPr>
              <w:t>melde</w:t>
            </w:r>
            <w:proofErr w:type="spellEnd"/>
            <w:r w:rsidRPr="008D42CC">
              <w:rPr>
                <w:rFonts w:cs="Arial"/>
                <w:lang w:val="en-US"/>
              </w:rPr>
              <w:t xml:space="preserve"> </w:t>
            </w:r>
            <w:proofErr w:type="spellStart"/>
            <w:r w:rsidRPr="008D42CC">
              <w:rPr>
                <w:rFonts w:cs="Arial"/>
                <w:lang w:val="en-US"/>
              </w:rPr>
              <w:t>mich</w:t>
            </w:r>
            <w:proofErr w:type="spellEnd"/>
            <w:r w:rsidRPr="008D42CC">
              <w:rPr>
                <w:rFonts w:cs="Arial"/>
                <w:lang w:val="en-US"/>
              </w:rPr>
              <w:t xml:space="preserve">!“ </w:t>
            </w:r>
            <w:proofErr w:type="spellStart"/>
            <w:r w:rsidRPr="008D42CC">
              <w:rPr>
                <w:rFonts w:cs="Arial"/>
                <w:lang w:val="en-US"/>
              </w:rPr>
              <w:t>o.ä</w:t>
            </w:r>
            <w:proofErr w:type="spellEnd"/>
            <w:r w:rsidRPr="008D42CC">
              <w:rPr>
                <w:rFonts w:cs="Arial"/>
                <w:lang w:val="en-US"/>
              </w:rPr>
              <w:t>.</w:t>
            </w:r>
            <w:r>
              <w:rPr>
                <w:rFonts w:cs="Arial"/>
                <w:lang w:val="en-US"/>
              </w:rPr>
              <w:br/>
              <w:t xml:space="preserve">- </w:t>
            </w:r>
            <w:proofErr w:type="spellStart"/>
            <w:r w:rsidRPr="008D42CC">
              <w:rPr>
                <w:rFonts w:cs="Arial"/>
                <w:lang w:val="en-US"/>
              </w:rPr>
              <w:t>Kontrollkärtchen</w:t>
            </w:r>
            <w:proofErr w:type="spellEnd"/>
            <w:r w:rsidRPr="008D42CC">
              <w:rPr>
                <w:rFonts w:cs="Arial"/>
                <w:lang w:val="en-US"/>
              </w:rPr>
              <w:t xml:space="preserve"> </w:t>
            </w:r>
            <w:proofErr w:type="spellStart"/>
            <w:r w:rsidRPr="008D42CC">
              <w:rPr>
                <w:rFonts w:cs="Arial"/>
                <w:lang w:val="en-US"/>
              </w:rPr>
              <w:t>beim</w:t>
            </w:r>
            <w:proofErr w:type="spellEnd"/>
            <w:r w:rsidRPr="008D42CC">
              <w:rPr>
                <w:rFonts w:cs="Arial"/>
                <w:lang w:val="en-US"/>
              </w:rPr>
              <w:t xml:space="preserve"> </w:t>
            </w:r>
            <w:proofErr w:type="spellStart"/>
            <w:r w:rsidRPr="008D42CC">
              <w:rPr>
                <w:rFonts w:cs="Arial"/>
                <w:lang w:val="en-US"/>
              </w:rPr>
              <w:t>Sitznachbarn</w:t>
            </w:r>
            <w:proofErr w:type="spellEnd"/>
            <w:r w:rsidRPr="008D42CC">
              <w:rPr>
                <w:rFonts w:cs="Arial"/>
                <w:lang w:val="en-US"/>
              </w:rPr>
              <w:t xml:space="preserve"> </w:t>
            </w:r>
            <w:proofErr w:type="spellStart"/>
            <w:r w:rsidRPr="008D42CC">
              <w:rPr>
                <w:rFonts w:cs="Arial"/>
                <w:lang w:val="en-US"/>
              </w:rPr>
              <w:t>mit</w:t>
            </w:r>
            <w:proofErr w:type="spellEnd"/>
            <w:r w:rsidRPr="008D42CC">
              <w:rPr>
                <w:rFonts w:cs="Arial"/>
                <w:lang w:val="en-US"/>
              </w:rPr>
              <w:t xml:space="preserve"> </w:t>
            </w:r>
            <w:proofErr w:type="spellStart"/>
            <w:r w:rsidRPr="008D42CC">
              <w:rPr>
                <w:rFonts w:cs="Arial"/>
                <w:lang w:val="en-US"/>
              </w:rPr>
              <w:t>stummem</w:t>
            </w:r>
            <w:proofErr w:type="spellEnd"/>
            <w:r w:rsidRPr="008D42CC">
              <w:rPr>
                <w:rFonts w:cs="Arial"/>
                <w:lang w:val="en-US"/>
              </w:rPr>
              <w:t xml:space="preserve"> </w:t>
            </w:r>
            <w:proofErr w:type="spellStart"/>
            <w:r w:rsidRPr="008D42CC">
              <w:rPr>
                <w:rFonts w:cs="Arial"/>
                <w:lang w:val="en-US"/>
              </w:rPr>
              <w:t>Impuls</w:t>
            </w:r>
            <w:proofErr w:type="spellEnd"/>
          </w:p>
          <w:p w:rsidR="009434F7" w:rsidRPr="00BD49CD" w:rsidRDefault="009434F7" w:rsidP="009434F7">
            <w:pPr>
              <w:rPr>
                <w:rFonts w:cs="Arial"/>
                <w:lang w:val="en-US"/>
              </w:rPr>
            </w:pPr>
            <w:r>
              <w:rPr>
                <w:rFonts w:cs="Arial"/>
              </w:rPr>
              <w:br/>
              <w:t xml:space="preserve">- </w:t>
            </w:r>
            <w:proofErr w:type="spellStart"/>
            <w:r w:rsidRPr="008D42CC">
              <w:rPr>
                <w:rFonts w:cs="Arial"/>
                <w:lang w:val="en-US"/>
              </w:rPr>
              <w:t>Satzbausteine</w:t>
            </w:r>
            <w:proofErr w:type="spellEnd"/>
            <w:r w:rsidRPr="008D42CC">
              <w:rPr>
                <w:rFonts w:cs="Arial"/>
                <w:lang w:val="en-US"/>
              </w:rPr>
              <w:t xml:space="preserve"> und </w:t>
            </w:r>
            <w:proofErr w:type="spellStart"/>
            <w:r w:rsidRPr="008D42CC">
              <w:rPr>
                <w:rFonts w:cs="Arial"/>
                <w:lang w:val="en-US"/>
              </w:rPr>
              <w:t>Satzanfänge</w:t>
            </w:r>
            <w:proofErr w:type="spellEnd"/>
            <w:r>
              <w:rPr>
                <w:rFonts w:cs="Arial"/>
                <w:lang w:val="en-US"/>
              </w:rPr>
              <w:br/>
              <w:t xml:space="preserve">- </w:t>
            </w:r>
            <w:proofErr w:type="spellStart"/>
            <w:r w:rsidRPr="008D42CC">
              <w:rPr>
                <w:rFonts w:cs="Arial"/>
                <w:lang w:val="en-US"/>
              </w:rPr>
              <w:t>Wortfelder</w:t>
            </w:r>
            <w:proofErr w:type="spellEnd"/>
            <w:r w:rsidRPr="008D42CC">
              <w:rPr>
                <w:rFonts w:cs="Arial"/>
                <w:lang w:val="en-US"/>
              </w:rPr>
              <w:t xml:space="preserve">, </w:t>
            </w:r>
            <w:proofErr w:type="spellStart"/>
            <w:r w:rsidRPr="008D42CC">
              <w:rPr>
                <w:rFonts w:cs="Arial"/>
                <w:lang w:val="en-US"/>
              </w:rPr>
              <w:t>Begriffsübersicht</w:t>
            </w:r>
            <w:proofErr w:type="spellEnd"/>
            <w:r w:rsidRPr="008D42CC">
              <w:rPr>
                <w:rFonts w:cs="Arial"/>
                <w:lang w:val="en-US"/>
              </w:rPr>
              <w:t xml:space="preserve"> </w:t>
            </w:r>
            <w:proofErr w:type="spellStart"/>
            <w:r w:rsidRPr="008D42CC">
              <w:rPr>
                <w:rFonts w:cs="Arial"/>
                <w:lang w:val="en-US"/>
              </w:rPr>
              <w:t>mit</w:t>
            </w:r>
            <w:proofErr w:type="spellEnd"/>
            <w:r w:rsidRPr="008D42CC">
              <w:rPr>
                <w:rFonts w:cs="Arial"/>
                <w:lang w:val="en-US"/>
              </w:rPr>
              <w:t xml:space="preserve"> </w:t>
            </w:r>
            <w:proofErr w:type="spellStart"/>
            <w:r w:rsidRPr="008D42CC">
              <w:rPr>
                <w:rFonts w:cs="Arial"/>
                <w:lang w:val="en-US"/>
              </w:rPr>
              <w:t>Erklärungen</w:t>
            </w:r>
            <w:proofErr w:type="spellEnd"/>
            <w:r>
              <w:rPr>
                <w:rFonts w:cs="Arial"/>
                <w:lang w:val="en-US"/>
              </w:rPr>
              <w:br/>
              <w:t xml:space="preserve">- </w:t>
            </w:r>
            <w:proofErr w:type="spellStart"/>
            <w:r w:rsidRPr="008D42CC">
              <w:rPr>
                <w:rFonts w:cs="Arial"/>
                <w:lang w:val="en-US"/>
              </w:rPr>
              <w:t>Klären</w:t>
            </w:r>
            <w:proofErr w:type="spellEnd"/>
            <w:r w:rsidRPr="008D42CC">
              <w:rPr>
                <w:rFonts w:cs="Arial"/>
                <w:lang w:val="en-US"/>
              </w:rPr>
              <w:t xml:space="preserve"> von </w:t>
            </w:r>
            <w:proofErr w:type="spellStart"/>
            <w:r w:rsidRPr="008D42CC">
              <w:rPr>
                <w:rFonts w:cs="Arial"/>
                <w:lang w:val="en-US"/>
              </w:rPr>
              <w:t>Begriffen</w:t>
            </w:r>
            <w:proofErr w:type="spellEnd"/>
            <w:r w:rsidRPr="008D42CC">
              <w:rPr>
                <w:rFonts w:cs="Arial"/>
                <w:lang w:val="en-US"/>
              </w:rPr>
              <w:t xml:space="preserve"> </w:t>
            </w:r>
            <w:proofErr w:type="spellStart"/>
            <w:r w:rsidRPr="008D42CC">
              <w:rPr>
                <w:rFonts w:cs="Arial"/>
                <w:lang w:val="en-US"/>
              </w:rPr>
              <w:t>wie</w:t>
            </w:r>
            <w:proofErr w:type="spellEnd"/>
            <w:r w:rsidRPr="008D42CC">
              <w:rPr>
                <w:rFonts w:cs="Arial"/>
                <w:lang w:val="en-US"/>
              </w:rPr>
              <w:t xml:space="preserve"> „</w:t>
            </w:r>
            <w:proofErr w:type="spellStart"/>
            <w:r w:rsidRPr="008D42CC">
              <w:rPr>
                <w:rFonts w:cs="Arial"/>
                <w:lang w:val="en-US"/>
              </w:rPr>
              <w:t>Lösung</w:t>
            </w:r>
            <w:proofErr w:type="spellEnd"/>
            <w:r w:rsidRPr="008D42CC">
              <w:rPr>
                <w:rFonts w:cs="Arial"/>
                <w:lang w:val="en-US"/>
              </w:rPr>
              <w:t xml:space="preserve">“ </w:t>
            </w:r>
            <w:proofErr w:type="spellStart"/>
            <w:r w:rsidRPr="008D42CC">
              <w:rPr>
                <w:rFonts w:cs="Arial"/>
                <w:lang w:val="en-US"/>
              </w:rPr>
              <w:t>oder</w:t>
            </w:r>
            <w:proofErr w:type="spellEnd"/>
            <w:r w:rsidRPr="008D42CC">
              <w:rPr>
                <w:rFonts w:cs="Arial"/>
                <w:lang w:val="en-US"/>
              </w:rPr>
              <w:t xml:space="preserve"> „</w:t>
            </w:r>
            <w:proofErr w:type="spellStart"/>
            <w:r w:rsidRPr="008D42CC">
              <w:rPr>
                <w:rFonts w:cs="Arial"/>
                <w:lang w:val="en-US"/>
              </w:rPr>
              <w:t>Niederschlag</w:t>
            </w:r>
            <w:proofErr w:type="spellEnd"/>
            <w:r w:rsidRPr="008D42CC">
              <w:rPr>
                <w:rFonts w:cs="Arial"/>
                <w:lang w:val="en-US"/>
              </w:rPr>
              <w:t xml:space="preserve">“, die </w:t>
            </w:r>
            <w:proofErr w:type="spellStart"/>
            <w:r w:rsidRPr="008D42CC">
              <w:rPr>
                <w:rFonts w:cs="Arial"/>
                <w:lang w:val="en-US"/>
              </w:rPr>
              <w:t>mehrfache</w:t>
            </w:r>
            <w:proofErr w:type="spellEnd"/>
            <w:r w:rsidRPr="008D42CC">
              <w:rPr>
                <w:rFonts w:cs="Arial"/>
                <w:lang w:val="en-US"/>
              </w:rPr>
              <w:t xml:space="preserve"> </w:t>
            </w:r>
            <w:proofErr w:type="spellStart"/>
            <w:r w:rsidRPr="008D42CC">
              <w:rPr>
                <w:rFonts w:cs="Arial"/>
                <w:lang w:val="en-US"/>
              </w:rPr>
              <w:t>unterschiedliche</w:t>
            </w:r>
            <w:proofErr w:type="spellEnd"/>
            <w:r w:rsidRPr="008D42CC">
              <w:rPr>
                <w:rFonts w:cs="Arial"/>
                <w:lang w:val="en-US"/>
              </w:rPr>
              <w:t xml:space="preserve"> </w:t>
            </w:r>
            <w:proofErr w:type="spellStart"/>
            <w:r w:rsidRPr="008D42CC">
              <w:rPr>
                <w:rFonts w:cs="Arial"/>
                <w:lang w:val="en-US"/>
              </w:rPr>
              <w:t>Bedeutungen</w:t>
            </w:r>
            <w:proofErr w:type="spellEnd"/>
            <w:r w:rsidRPr="008D42CC">
              <w:rPr>
                <w:rFonts w:cs="Arial"/>
                <w:lang w:val="en-US"/>
              </w:rPr>
              <w:t xml:space="preserve"> </w:t>
            </w:r>
            <w:proofErr w:type="spellStart"/>
            <w:r w:rsidRPr="008D42CC">
              <w:rPr>
                <w:rFonts w:cs="Arial"/>
                <w:lang w:val="en-US"/>
              </w:rPr>
              <w:t>haben</w:t>
            </w:r>
            <w:proofErr w:type="spellEnd"/>
            <w:r>
              <w:rPr>
                <w:rFonts w:cs="Arial"/>
                <w:lang w:val="en-US"/>
              </w:rPr>
              <w:br/>
              <w:t xml:space="preserve">- </w:t>
            </w:r>
            <w:proofErr w:type="spellStart"/>
            <w:r w:rsidRPr="008D42CC">
              <w:rPr>
                <w:rFonts w:cs="Arial"/>
                <w:lang w:val="en-US"/>
              </w:rPr>
              <w:t>Kooperative</w:t>
            </w:r>
            <w:proofErr w:type="spellEnd"/>
            <w:r w:rsidRPr="008D42CC">
              <w:rPr>
                <w:rFonts w:cs="Arial"/>
                <w:lang w:val="en-US"/>
              </w:rPr>
              <w:t xml:space="preserve"> </w:t>
            </w:r>
            <w:proofErr w:type="spellStart"/>
            <w:r w:rsidRPr="008D42CC">
              <w:rPr>
                <w:rFonts w:cs="Arial"/>
                <w:lang w:val="en-US"/>
              </w:rPr>
              <w:t>Schreibmöglichkeiten</w:t>
            </w:r>
            <w:proofErr w:type="spellEnd"/>
            <w:r>
              <w:rPr>
                <w:rFonts w:cs="Arial"/>
                <w:lang w:val="en-US"/>
              </w:rPr>
              <w:br/>
              <w:t xml:space="preserve">- </w:t>
            </w:r>
            <w:proofErr w:type="spellStart"/>
            <w:r>
              <w:rPr>
                <w:rFonts w:cs="Arial"/>
                <w:lang w:val="en-US"/>
              </w:rPr>
              <w:t>Kein</w:t>
            </w:r>
            <w:proofErr w:type="spellEnd"/>
            <w:r>
              <w:rPr>
                <w:rFonts w:cs="Arial"/>
                <w:lang w:val="en-US"/>
              </w:rPr>
              <w:t xml:space="preserve"> „</w:t>
            </w:r>
            <w:proofErr w:type="spellStart"/>
            <w:r>
              <w:rPr>
                <w:rFonts w:cs="Arial"/>
                <w:lang w:val="en-US"/>
              </w:rPr>
              <w:t>öffentliches</w:t>
            </w:r>
            <w:proofErr w:type="spellEnd"/>
            <w:r>
              <w:rPr>
                <w:rFonts w:cs="Arial"/>
                <w:lang w:val="en-US"/>
              </w:rPr>
              <w:t xml:space="preserve">“ </w:t>
            </w:r>
            <w:proofErr w:type="spellStart"/>
            <w:r>
              <w:rPr>
                <w:rFonts w:cs="Arial"/>
                <w:lang w:val="en-US"/>
              </w:rPr>
              <w:t>S</w:t>
            </w:r>
            <w:r w:rsidRPr="008D42CC">
              <w:rPr>
                <w:rFonts w:cs="Arial"/>
                <w:lang w:val="en-US"/>
              </w:rPr>
              <w:t>chreiben</w:t>
            </w:r>
            <w:proofErr w:type="spellEnd"/>
          </w:p>
          <w:p w:rsidR="009434F7" w:rsidRPr="00BD49CD" w:rsidRDefault="009434F7" w:rsidP="00953E24">
            <w:pPr>
              <w:rPr>
                <w:rFonts w:cs="Arial"/>
                <w:lang w:val="en-US"/>
              </w:rPr>
            </w:pPr>
          </w:p>
        </w:tc>
      </w:tr>
      <w:tr w:rsidR="009434F7" w:rsidRPr="003D03FB" w:rsidTr="00953E24">
        <w:trPr>
          <w:trHeight w:val="566"/>
        </w:trPr>
        <w:tc>
          <w:tcPr>
            <w:tcW w:w="2412" w:type="dxa"/>
            <w:shd w:val="clear" w:color="auto" w:fill="FFFFFF" w:themeFill="background1"/>
            <w:vAlign w:val="center"/>
          </w:tcPr>
          <w:p w:rsidR="009434F7" w:rsidRPr="00C4464D" w:rsidRDefault="009434F7" w:rsidP="00953E24">
            <w:pPr>
              <w:rPr>
                <w:rFonts w:cs="Arial"/>
              </w:rPr>
            </w:pPr>
            <w:r w:rsidRPr="00C4464D">
              <w:rPr>
                <w:rFonts w:cs="Arial"/>
              </w:rPr>
              <w:t xml:space="preserve">Motorik / </w:t>
            </w:r>
            <w:r>
              <w:rPr>
                <w:rFonts w:cs="Arial"/>
              </w:rPr>
              <w:br/>
            </w:r>
            <w:r w:rsidRPr="00C4464D">
              <w:rPr>
                <w:rFonts w:cs="Arial"/>
              </w:rPr>
              <w:t>Wahrnehmung</w:t>
            </w:r>
          </w:p>
        </w:tc>
        <w:tc>
          <w:tcPr>
            <w:tcW w:w="2451" w:type="dxa"/>
            <w:shd w:val="clear" w:color="auto" w:fill="FFFFFF" w:themeFill="background1"/>
          </w:tcPr>
          <w:p w:rsidR="009434F7" w:rsidRDefault="009434F7" w:rsidP="00953E24">
            <w:pPr>
              <w:pStyle w:val="Listenabsatz1"/>
              <w:spacing w:after="0"/>
              <w:ind w:left="88"/>
            </w:pPr>
          </w:p>
          <w:p w:rsidR="009434F7" w:rsidRDefault="009434F7" w:rsidP="00953E24">
            <w:pPr>
              <w:pStyle w:val="Listenabsatz1"/>
              <w:spacing w:after="0"/>
              <w:ind w:left="88"/>
            </w:pPr>
            <w:r>
              <w:t>1a: gezieltes Anleiten der Beobachtungen (am besten mit Mit-schülerin/Mitschüler)</w:t>
            </w:r>
          </w:p>
          <w:p w:rsidR="009434F7" w:rsidRDefault="009434F7" w:rsidP="00953E24">
            <w:pPr>
              <w:pStyle w:val="Listenabsatz1"/>
              <w:spacing w:after="0"/>
              <w:ind w:left="88"/>
            </w:pPr>
          </w:p>
          <w:p w:rsidR="009434F7" w:rsidRDefault="009434F7" w:rsidP="00953E24">
            <w:pPr>
              <w:pStyle w:val="Listenabsatz1"/>
              <w:spacing w:after="0"/>
              <w:ind w:left="88"/>
            </w:pPr>
          </w:p>
          <w:p w:rsidR="009434F7" w:rsidRPr="00506D1F" w:rsidRDefault="009434F7" w:rsidP="00545509">
            <w:pPr>
              <w:pStyle w:val="Listenabsatz1"/>
              <w:spacing w:after="0"/>
              <w:ind w:left="88"/>
            </w:pPr>
          </w:p>
        </w:tc>
        <w:tc>
          <w:tcPr>
            <w:tcW w:w="3321" w:type="dxa"/>
            <w:shd w:val="clear" w:color="auto" w:fill="FFFFFF" w:themeFill="background1"/>
          </w:tcPr>
          <w:p w:rsidR="009434F7" w:rsidRDefault="009434F7" w:rsidP="00953E24">
            <w:pPr>
              <w:rPr>
                <w:rFonts w:cs="Arial"/>
              </w:rPr>
            </w:pPr>
          </w:p>
          <w:p w:rsidR="009434F7" w:rsidRDefault="009434F7" w:rsidP="00953E24">
            <w:pPr>
              <w:pStyle w:val="Listenabsatz1"/>
              <w:spacing w:after="0"/>
              <w:ind w:left="88"/>
            </w:pPr>
            <w:r>
              <w:rPr>
                <w:rFonts w:cs="Arial"/>
              </w:rPr>
              <w:t xml:space="preserve">- </w:t>
            </w:r>
            <w:r>
              <w:t>Kategorien (Oberfläche, Farbe…) vorgeben</w:t>
            </w:r>
            <w:r>
              <w:br/>
              <w:t>- Checkliste zum Abhaken</w:t>
            </w:r>
            <w:r>
              <w:br/>
              <w:t>- Vergleiche einfordern „sieht aus wie…“ „fühlt sich an wie…“</w:t>
            </w:r>
          </w:p>
          <w:p w:rsidR="009434F7" w:rsidRPr="003D03FB" w:rsidRDefault="009434F7" w:rsidP="00545509">
            <w:pPr>
              <w:pStyle w:val="Listenabsatz1"/>
              <w:spacing w:after="0"/>
              <w:ind w:left="88"/>
              <w:rPr>
                <w:rFonts w:cs="Arial"/>
              </w:rPr>
            </w:pPr>
          </w:p>
        </w:tc>
      </w:tr>
    </w:tbl>
    <w:p w:rsidR="008A1B23" w:rsidRDefault="008A1B23" w:rsidP="00216554">
      <w:pPr>
        <w:rPr>
          <w:sz w:val="32"/>
          <w:szCs w:val="32"/>
        </w:rPr>
      </w:pPr>
    </w:p>
    <w:p w:rsidR="009434F7" w:rsidRDefault="009434F7">
      <w:p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8A1B23" w:rsidRDefault="008A1B23" w:rsidP="00216554">
      <w:pPr>
        <w:rPr>
          <w:sz w:val="32"/>
          <w:szCs w:val="32"/>
        </w:rPr>
      </w:pPr>
    </w:p>
    <w:p w:rsidR="00216554" w:rsidRPr="00216554" w:rsidRDefault="00216554" w:rsidP="00216554">
      <w:pPr>
        <w:rPr>
          <w:sz w:val="32"/>
          <w:szCs w:val="32"/>
        </w:rPr>
      </w:pPr>
      <w:r w:rsidRPr="00216554">
        <w:rPr>
          <w:sz w:val="32"/>
          <w:szCs w:val="32"/>
        </w:rPr>
        <w:t xml:space="preserve">Kochsalzkristalle anschauen und </w:t>
      </w:r>
      <w:r>
        <w:rPr>
          <w:sz w:val="32"/>
          <w:szCs w:val="32"/>
        </w:rPr>
        <w:t>b</w:t>
      </w:r>
      <w:r w:rsidRPr="00216554">
        <w:rPr>
          <w:sz w:val="32"/>
          <w:szCs w:val="32"/>
        </w:rPr>
        <w:t>eschreiben</w:t>
      </w:r>
    </w:p>
    <w:p w:rsidR="00216554" w:rsidRDefault="00216554" w:rsidP="00216554"/>
    <w:p w:rsidR="00216554" w:rsidRDefault="00216554" w:rsidP="00216554">
      <w:pPr>
        <w:spacing w:line="276" w:lineRule="auto"/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788F3305" wp14:editId="28A5350A">
            <wp:simplePos x="0" y="0"/>
            <wp:positionH relativeFrom="column">
              <wp:posOffset>4385310</wp:posOffset>
            </wp:positionH>
            <wp:positionV relativeFrom="paragraph">
              <wp:posOffset>88900</wp:posOffset>
            </wp:positionV>
            <wp:extent cx="1097280" cy="927735"/>
            <wp:effectExtent l="0" t="0" r="7620" b="5715"/>
            <wp:wrapSquare wrapText="bothSides"/>
            <wp:docPr id="1" name="Bild 2" descr="Bildergebnis für Kochsalz Krista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gebnis für Kochsalz Kristall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6554" w:rsidRPr="00216554" w:rsidRDefault="00216554" w:rsidP="00BA1A5A">
      <w:pPr>
        <w:spacing w:line="276" w:lineRule="auto"/>
        <w:ind w:left="1134" w:hanging="1134"/>
        <w:rPr>
          <w:sz w:val="24"/>
          <w:szCs w:val="24"/>
        </w:rPr>
      </w:pPr>
      <w:r w:rsidRPr="00216554">
        <w:rPr>
          <w:b/>
          <w:sz w:val="24"/>
          <w:szCs w:val="24"/>
        </w:rPr>
        <w:t>Material:</w:t>
      </w:r>
      <w:r w:rsidR="00BA1A5A">
        <w:rPr>
          <w:sz w:val="24"/>
          <w:szCs w:val="24"/>
        </w:rPr>
        <w:tab/>
      </w:r>
      <w:r w:rsidRPr="00216554">
        <w:rPr>
          <w:sz w:val="24"/>
          <w:szCs w:val="24"/>
        </w:rPr>
        <w:t>Halit-Diamantsalz, grobes Mühlensalz, Speisesalz</w:t>
      </w:r>
      <w:r w:rsidR="00BA1A5A">
        <w:rPr>
          <w:sz w:val="24"/>
          <w:szCs w:val="24"/>
        </w:rPr>
        <w:t xml:space="preserve">, </w:t>
      </w:r>
      <w:r w:rsidR="00AF486C">
        <w:rPr>
          <w:sz w:val="24"/>
          <w:szCs w:val="24"/>
        </w:rPr>
        <w:t>s</w:t>
      </w:r>
      <w:r w:rsidRPr="00216554">
        <w:rPr>
          <w:sz w:val="24"/>
          <w:szCs w:val="24"/>
        </w:rPr>
        <w:t>chwarzes Tonpapier, Lupe, Stereolupe</w:t>
      </w:r>
    </w:p>
    <w:p w:rsidR="00216554" w:rsidRPr="00216554" w:rsidRDefault="00216554" w:rsidP="00216554">
      <w:pPr>
        <w:spacing w:line="276" w:lineRule="auto"/>
        <w:rPr>
          <w:sz w:val="24"/>
          <w:szCs w:val="24"/>
        </w:rPr>
      </w:pPr>
    </w:p>
    <w:p w:rsidR="00216554" w:rsidRPr="00216554" w:rsidRDefault="00216554" w:rsidP="00216554">
      <w:pPr>
        <w:spacing w:line="276" w:lineRule="auto"/>
        <w:rPr>
          <w:b/>
          <w:sz w:val="24"/>
          <w:szCs w:val="24"/>
        </w:rPr>
      </w:pPr>
      <w:r w:rsidRPr="00216554">
        <w:rPr>
          <w:b/>
          <w:sz w:val="24"/>
          <w:szCs w:val="24"/>
        </w:rPr>
        <w:t>Aufgabenstellung:</w:t>
      </w:r>
    </w:p>
    <w:p w:rsidR="00216554" w:rsidRPr="00216554" w:rsidRDefault="00216554" w:rsidP="00216554">
      <w:pPr>
        <w:pStyle w:val="Listenabsatz"/>
        <w:numPr>
          <w:ilvl w:val="0"/>
          <w:numId w:val="1"/>
        </w:numPr>
        <w:spacing w:line="276" w:lineRule="auto"/>
        <w:ind w:left="714" w:hanging="357"/>
        <w:contextualSpacing w:val="0"/>
        <w:rPr>
          <w:sz w:val="24"/>
          <w:szCs w:val="24"/>
        </w:rPr>
      </w:pPr>
      <w:r w:rsidRPr="00216554">
        <w:rPr>
          <w:sz w:val="24"/>
          <w:szCs w:val="24"/>
        </w:rPr>
        <w:t>Beschreibe den großen Salzkristall und zeichne ihn.</w:t>
      </w:r>
    </w:p>
    <w:p w:rsidR="00BA1A5A" w:rsidRDefault="00216554" w:rsidP="00216554">
      <w:pPr>
        <w:pStyle w:val="Listenabsatz"/>
        <w:numPr>
          <w:ilvl w:val="0"/>
          <w:numId w:val="1"/>
        </w:numPr>
        <w:spacing w:line="276" w:lineRule="auto"/>
        <w:ind w:left="714" w:hanging="357"/>
        <w:contextualSpacing w:val="0"/>
        <w:rPr>
          <w:sz w:val="24"/>
          <w:szCs w:val="24"/>
        </w:rPr>
      </w:pPr>
      <w:r w:rsidRPr="00216554"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60288" behindDoc="0" locked="0" layoutInCell="1" allowOverlap="1" wp14:anchorId="4E4DE601" wp14:editId="1D7D8E34">
            <wp:simplePos x="0" y="0"/>
            <wp:positionH relativeFrom="column">
              <wp:posOffset>4386580</wp:posOffset>
            </wp:positionH>
            <wp:positionV relativeFrom="paragraph">
              <wp:posOffset>69215</wp:posOffset>
            </wp:positionV>
            <wp:extent cx="1154430" cy="890270"/>
            <wp:effectExtent l="0" t="0" r="7620" b="5080"/>
            <wp:wrapSquare wrapText="bothSides"/>
            <wp:docPr id="2" name="Bild 3" descr="Bildergebnis für Kochsalz Krista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ergebnis für Kochsalz Kristall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6554">
        <w:rPr>
          <w:sz w:val="24"/>
          <w:szCs w:val="24"/>
        </w:rPr>
        <w:t>Betrachte die Salzkristalle des groben Mühlensalzes und des Speisesalzes</w:t>
      </w:r>
      <w:r w:rsidRPr="00216554">
        <w:rPr>
          <w:sz w:val="24"/>
          <w:szCs w:val="24"/>
        </w:rPr>
        <w:br/>
        <w:t>- ohne Hilfsmittel</w:t>
      </w:r>
      <w:r w:rsidR="00BA1A5A">
        <w:rPr>
          <w:sz w:val="24"/>
          <w:szCs w:val="24"/>
        </w:rPr>
        <w:t>,</w:t>
      </w:r>
      <w:r w:rsidRPr="00216554">
        <w:rPr>
          <w:sz w:val="24"/>
          <w:szCs w:val="24"/>
        </w:rPr>
        <w:br/>
        <w:t>- mit der Lupe</w:t>
      </w:r>
      <w:r>
        <w:rPr>
          <w:sz w:val="24"/>
          <w:szCs w:val="24"/>
        </w:rPr>
        <w:t xml:space="preserve"> oder</w:t>
      </w:r>
      <w:r w:rsidRPr="00216554">
        <w:rPr>
          <w:sz w:val="24"/>
          <w:szCs w:val="24"/>
        </w:rPr>
        <w:t xml:space="preserve"> der Stereolup</w:t>
      </w:r>
      <w:r w:rsidR="00A96736">
        <w:rPr>
          <w:sz w:val="24"/>
          <w:szCs w:val="24"/>
        </w:rPr>
        <w:t>e.</w:t>
      </w:r>
    </w:p>
    <w:p w:rsidR="00216554" w:rsidRPr="00216554" w:rsidRDefault="00A96736" w:rsidP="00216554">
      <w:pPr>
        <w:pStyle w:val="Listenabsatz"/>
        <w:numPr>
          <w:ilvl w:val="0"/>
          <w:numId w:val="1"/>
        </w:numPr>
        <w:spacing w:line="276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Z</w:t>
      </w:r>
      <w:r w:rsidR="00216554" w:rsidRPr="00216554">
        <w:rPr>
          <w:sz w:val="24"/>
          <w:szCs w:val="24"/>
        </w:rPr>
        <w:t>eichne jeweils einen der Salzkristalle.</w:t>
      </w:r>
    </w:p>
    <w:sectPr w:rsidR="00216554" w:rsidRPr="00216554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062" w:rsidRDefault="007D6062" w:rsidP="00BA1A5A">
      <w:pPr>
        <w:spacing w:after="0"/>
      </w:pPr>
      <w:r>
        <w:separator/>
      </w:r>
    </w:p>
  </w:endnote>
  <w:endnote w:type="continuationSeparator" w:id="0">
    <w:p w:rsidR="007D6062" w:rsidRDefault="007D6062" w:rsidP="00BA1A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062" w:rsidRDefault="007D6062" w:rsidP="00BA1A5A">
      <w:pPr>
        <w:spacing w:after="0"/>
      </w:pPr>
      <w:r>
        <w:separator/>
      </w:r>
    </w:p>
  </w:footnote>
  <w:footnote w:type="continuationSeparator" w:id="0">
    <w:p w:rsidR="007D6062" w:rsidRDefault="007D6062" w:rsidP="00BA1A5A">
      <w:pPr>
        <w:spacing w:after="0"/>
      </w:pPr>
      <w:r>
        <w:continuationSeparator/>
      </w:r>
    </w:p>
  </w:footnote>
  <w:footnote w:id="1">
    <w:p w:rsidR="009434F7" w:rsidRDefault="009434F7">
      <w:pPr>
        <w:pStyle w:val="Funotentext"/>
      </w:pPr>
      <w:r>
        <w:rPr>
          <w:rStyle w:val="Funotenzeichen"/>
        </w:rPr>
        <w:footnoteRef/>
      </w:r>
      <w:r>
        <w:t xml:space="preserve"> i: </w:t>
      </w:r>
      <w:proofErr w:type="spellStart"/>
      <w:r>
        <w:t>cognitive</w:t>
      </w:r>
      <w:proofErr w:type="spellEnd"/>
      <w:r>
        <w:t xml:space="preserve"> </w:t>
      </w:r>
      <w:proofErr w:type="spellStart"/>
      <w:r>
        <w:t>load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: vgl. </w:t>
      </w:r>
      <w:hyperlink r:id="rId1" w:history="1">
        <w:r w:rsidRPr="004F2FE6">
          <w:rPr>
            <w:rStyle w:val="Hyperlink"/>
          </w:rPr>
          <w:t>https://www.schulentwicklung.nrw.de/cms/inklusiver-fachunterricht/lernumgebungen-gestalten/aufgabengestaltung/index.html</w:t>
        </w:r>
      </w:hyperlink>
    </w:p>
  </w:footnote>
  <w:footnote w:id="2">
    <w:p w:rsidR="009434F7" w:rsidRDefault="009434F7">
      <w:pPr>
        <w:pStyle w:val="Funotentext"/>
      </w:pPr>
      <w:r>
        <w:rPr>
          <w:rStyle w:val="Funotenzeichen"/>
        </w:rPr>
        <w:footnoteRef/>
      </w:r>
      <w:r>
        <w:t xml:space="preserve"> bitte direkt verlinken auf: </w:t>
      </w:r>
      <w:hyperlink r:id="rId2" w:history="1">
        <w:r w:rsidRPr="004F2FE6">
          <w:rPr>
            <w:rStyle w:val="Hyperlink"/>
          </w:rPr>
          <w:t>https://www.schulentwicklung.nrw.de/cms/inklusiver-fachunterricht/lernumgebungen-gestalten/aufgabengestaltung/index.html</w:t>
        </w:r>
      </w:hyperlink>
      <w:r>
        <w:t xml:space="preserve"> </w:t>
      </w:r>
    </w:p>
  </w:footnote>
  <w:footnote w:id="3">
    <w:p w:rsidR="009434F7" w:rsidRDefault="009434F7" w:rsidP="009434F7">
      <w:pPr>
        <w:pStyle w:val="Funotentext"/>
      </w:pPr>
      <w:r>
        <w:rPr>
          <w:rStyle w:val="Funotenzeichen"/>
        </w:rPr>
        <w:footnoteRef/>
      </w:r>
      <w:r>
        <w:t xml:space="preserve"> bitte direkt verlinken: </w:t>
      </w:r>
      <w:hyperlink r:id="rId3" w:history="1">
        <w:r w:rsidRPr="00123BF8">
          <w:rPr>
            <w:rStyle w:val="Hyperlink"/>
          </w:rPr>
          <w:t>https://www.schulentwicklung.nrw.de/cms/inklusiver-fachunterricht/entwicklungsbereiche/index.html</w:t>
        </w:r>
      </w:hyperlink>
      <w:r>
        <w:t xml:space="preserve"> </w:t>
      </w:r>
    </w:p>
  </w:footnote>
  <w:footnote w:id="4">
    <w:p w:rsidR="009434F7" w:rsidRDefault="009434F7" w:rsidP="009434F7">
      <w:pPr>
        <w:pStyle w:val="Funotentext"/>
      </w:pPr>
      <w:r>
        <w:rPr>
          <w:rStyle w:val="Funotenzeichen"/>
        </w:rPr>
        <w:footnoteRef/>
      </w:r>
      <w:r>
        <w:t xml:space="preserve"> bitte direkt verlinken: </w:t>
      </w:r>
      <w:hyperlink r:id="rId4" w:history="1">
        <w:r w:rsidRPr="004F2FE6">
          <w:rPr>
            <w:rStyle w:val="Hyperlink"/>
          </w:rPr>
          <w:t>https://www.schulentwicklung.nrw.de/q/inklusive-schulische-bildung/lern-und-entwicklungsplanung/grundverstaendnis/kriterien-zur-lern-und-entwicklungsplanung/index.html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6DD" w:rsidRDefault="003136DD">
    <w:pPr>
      <w:pStyle w:val="Kopfzeile"/>
    </w:pPr>
    <w:r>
      <w:t xml:space="preserve">A1  </w:t>
    </w:r>
    <w:r w:rsidRPr="003136DD">
      <w:t>Unterschiedlich große Kochsalzkristalle an-schauen (auch mit der Lupe) und beschreiben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676F4"/>
    <w:multiLevelType w:val="hybridMultilevel"/>
    <w:tmpl w:val="D7268452"/>
    <w:lvl w:ilvl="0" w:tplc="726883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BC0AE9"/>
    <w:multiLevelType w:val="multilevel"/>
    <w:tmpl w:val="53BC0AE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CC5280"/>
    <w:multiLevelType w:val="hybridMultilevel"/>
    <w:tmpl w:val="7FA2F0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554"/>
    <w:rsid w:val="000044DD"/>
    <w:rsid w:val="000053FF"/>
    <w:rsid w:val="00216554"/>
    <w:rsid w:val="002367CF"/>
    <w:rsid w:val="003136DD"/>
    <w:rsid w:val="00545509"/>
    <w:rsid w:val="006123EF"/>
    <w:rsid w:val="007D6062"/>
    <w:rsid w:val="008215C2"/>
    <w:rsid w:val="00843C06"/>
    <w:rsid w:val="008A1B23"/>
    <w:rsid w:val="009434F7"/>
    <w:rsid w:val="0098383E"/>
    <w:rsid w:val="009F7C78"/>
    <w:rsid w:val="00A96736"/>
    <w:rsid w:val="00AF486C"/>
    <w:rsid w:val="00B5792E"/>
    <w:rsid w:val="00BA1A5A"/>
    <w:rsid w:val="00E9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16554"/>
    <w:pPr>
      <w:spacing w:after="6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1655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A1A5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BA1A5A"/>
  </w:style>
  <w:style w:type="paragraph" w:styleId="Fuzeile">
    <w:name w:val="footer"/>
    <w:basedOn w:val="Standard"/>
    <w:link w:val="FuzeileZchn"/>
    <w:uiPriority w:val="99"/>
    <w:unhideWhenUsed/>
    <w:rsid w:val="00BA1A5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BA1A5A"/>
  </w:style>
  <w:style w:type="paragraph" w:styleId="Funotentext">
    <w:name w:val="footnote text"/>
    <w:basedOn w:val="Standard"/>
    <w:link w:val="FunotentextZchn"/>
    <w:unhideWhenUsed/>
    <w:qFormat/>
    <w:rsid w:val="006123EF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6123E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qFormat/>
    <w:rsid w:val="006123EF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9434F7"/>
    <w:rPr>
      <w:color w:val="0000FF"/>
      <w:u w:val="single"/>
    </w:rPr>
  </w:style>
  <w:style w:type="paragraph" w:customStyle="1" w:styleId="Aufklapper">
    <w:name w:val="Aufklapper"/>
    <w:basedOn w:val="Standard"/>
    <w:link w:val="AufklapperZchn"/>
    <w:qFormat/>
    <w:rsid w:val="009434F7"/>
    <w:pPr>
      <w:spacing w:after="200" w:line="276" w:lineRule="auto"/>
      <w:ind w:left="567" w:right="567"/>
      <w:jc w:val="both"/>
    </w:pPr>
    <w:rPr>
      <w:rFonts w:ascii="Arial" w:eastAsiaTheme="minorEastAsia" w:hAnsi="Arial" w:cs="Arial"/>
      <w:color w:val="4F6228" w:themeColor="accent3" w:themeShade="80"/>
    </w:rPr>
  </w:style>
  <w:style w:type="character" w:customStyle="1" w:styleId="AufklapperZchn">
    <w:name w:val="Aufklapper Zchn"/>
    <w:basedOn w:val="Absatz-Standardschriftart"/>
    <w:link w:val="Aufklapper"/>
    <w:rsid w:val="009434F7"/>
    <w:rPr>
      <w:rFonts w:ascii="Arial" w:eastAsiaTheme="minorEastAsia" w:hAnsi="Arial" w:cs="Arial"/>
      <w:color w:val="4F6228" w:themeColor="accent3" w:themeShade="80"/>
    </w:rPr>
  </w:style>
  <w:style w:type="paragraph" w:customStyle="1" w:styleId="Listenabsatz1">
    <w:name w:val="Listenabsatz1"/>
    <w:basedOn w:val="Standard"/>
    <w:uiPriority w:val="34"/>
    <w:qFormat/>
    <w:rsid w:val="009434F7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16554"/>
    <w:pPr>
      <w:spacing w:after="6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1655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A1A5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BA1A5A"/>
  </w:style>
  <w:style w:type="paragraph" w:styleId="Fuzeile">
    <w:name w:val="footer"/>
    <w:basedOn w:val="Standard"/>
    <w:link w:val="FuzeileZchn"/>
    <w:uiPriority w:val="99"/>
    <w:unhideWhenUsed/>
    <w:rsid w:val="00BA1A5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BA1A5A"/>
  </w:style>
  <w:style w:type="paragraph" w:styleId="Funotentext">
    <w:name w:val="footnote text"/>
    <w:basedOn w:val="Standard"/>
    <w:link w:val="FunotentextZchn"/>
    <w:unhideWhenUsed/>
    <w:qFormat/>
    <w:rsid w:val="006123EF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6123E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qFormat/>
    <w:rsid w:val="006123EF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9434F7"/>
    <w:rPr>
      <w:color w:val="0000FF"/>
      <w:u w:val="single"/>
    </w:rPr>
  </w:style>
  <w:style w:type="paragraph" w:customStyle="1" w:styleId="Aufklapper">
    <w:name w:val="Aufklapper"/>
    <w:basedOn w:val="Standard"/>
    <w:link w:val="AufklapperZchn"/>
    <w:qFormat/>
    <w:rsid w:val="009434F7"/>
    <w:pPr>
      <w:spacing w:after="200" w:line="276" w:lineRule="auto"/>
      <w:ind w:left="567" w:right="567"/>
      <w:jc w:val="both"/>
    </w:pPr>
    <w:rPr>
      <w:rFonts w:ascii="Arial" w:eastAsiaTheme="minorEastAsia" w:hAnsi="Arial" w:cs="Arial"/>
      <w:color w:val="4F6228" w:themeColor="accent3" w:themeShade="80"/>
    </w:rPr>
  </w:style>
  <w:style w:type="character" w:customStyle="1" w:styleId="AufklapperZchn">
    <w:name w:val="Aufklapper Zchn"/>
    <w:basedOn w:val="Absatz-Standardschriftart"/>
    <w:link w:val="Aufklapper"/>
    <w:rsid w:val="009434F7"/>
    <w:rPr>
      <w:rFonts w:ascii="Arial" w:eastAsiaTheme="minorEastAsia" w:hAnsi="Arial" w:cs="Arial"/>
      <w:color w:val="4F6228" w:themeColor="accent3" w:themeShade="80"/>
    </w:rPr>
  </w:style>
  <w:style w:type="paragraph" w:customStyle="1" w:styleId="Listenabsatz1">
    <w:name w:val="Listenabsatz1"/>
    <w:basedOn w:val="Standard"/>
    <w:uiPriority w:val="34"/>
    <w:qFormat/>
    <w:rsid w:val="009434F7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ntwicklung.nrw.de/cms/inklusiver-fachunterricht/entwicklungsbereiche/index.html" TargetMode="External"/><Relationship Id="rId2" Type="http://schemas.openxmlformats.org/officeDocument/2006/relationships/hyperlink" Target="https://www.schulentwicklung.nrw.de/cms/inklusiver-fachunterricht/lernumgebungen-gestalten/aufgabengestaltung/index.html" TargetMode="External"/><Relationship Id="rId1" Type="http://schemas.openxmlformats.org/officeDocument/2006/relationships/hyperlink" Target="https://www.schulentwicklung.nrw.de/cms/inklusiver-fachunterricht/lernumgebungen-gestalten/aufgabengestaltung/index.html" TargetMode="External"/><Relationship Id="rId4" Type="http://schemas.openxmlformats.org/officeDocument/2006/relationships/hyperlink" Target="https://www.schulentwicklung.nrw.de/q/inklusive-schulische-bildung/lern-und-entwicklungsplanung/grundverstaendnis/kriterien-zur-lern-und-entwicklungsplanung/index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89244-5DB7-4180-9F31-E39FA170E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92375BBC.dotm</Template>
  <TotalTime>0</TotalTime>
  <Pages>3</Pages>
  <Words>387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Eßer, Susanne</cp:lastModifiedBy>
  <cp:revision>2</cp:revision>
  <dcterms:created xsi:type="dcterms:W3CDTF">2018-05-25T11:47:00Z</dcterms:created>
  <dcterms:modified xsi:type="dcterms:W3CDTF">2018-05-25T11:47:00Z</dcterms:modified>
</cp:coreProperties>
</file>