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5D" w:rsidRDefault="00E26E5D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b/>
          <w:color w:val="auto"/>
          <w:sz w:val="24"/>
        </w:rPr>
      </w:pPr>
      <w:bookmarkStart w:id="0" w:name="_GoBack"/>
      <w:bookmarkEnd w:id="0"/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 w:rsidRPr="0094467B">
        <w:rPr>
          <w:rFonts w:asciiTheme="minorHAnsi" w:eastAsiaTheme="minorHAnsi" w:hAnsiTheme="minorHAnsi" w:cstheme="minorBidi"/>
          <w:b/>
          <w:color w:val="auto"/>
          <w:sz w:val="24"/>
        </w:rPr>
        <w:t>Entwicklungschancen:</w:t>
      </w:r>
      <w:r>
        <w:rPr>
          <w:rFonts w:asciiTheme="minorHAnsi" w:eastAsiaTheme="minorHAnsi" w:hAnsiTheme="minorHAnsi" w:cstheme="minorBidi"/>
          <w:b/>
          <w:color w:val="auto"/>
          <w:sz w:val="24"/>
        </w:rPr>
        <w:br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>Im zieldifferenten Lernen kann sowohl ein Zugang über das fachliche Lernen als auch über die Entwicklungschancen gelegt werden.</w:t>
      </w:r>
      <w:r w:rsidRPr="0094467B">
        <w:rPr>
          <w:rFonts w:asciiTheme="minorHAnsi" w:eastAsiaTheme="minorHAnsi" w:hAnsiTheme="minorHAnsi" w:cstheme="minorBidi"/>
          <w:sz w:val="24"/>
        </w:rPr>
        <w:footnoteReference w:id="1"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 xml:space="preserve"> </w:t>
      </w:r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>
        <w:rPr>
          <w:rFonts w:asciiTheme="minorHAnsi" w:eastAsiaTheme="minorHAnsi" w:hAnsiTheme="minorHAnsi" w:cstheme="minorBidi"/>
          <w:color w:val="auto"/>
          <w:sz w:val="24"/>
        </w:rPr>
        <w:t xml:space="preserve">In diesem Unterrichtssetting können auf der Grundlage der individuellen </w:t>
      </w:r>
      <w:r w:rsidRPr="008356E8">
        <w:rPr>
          <w:rFonts w:asciiTheme="minorHAnsi" w:eastAsiaTheme="minorHAnsi" w:hAnsiTheme="minorHAnsi" w:cstheme="minorBidi"/>
          <w:color w:val="auto"/>
          <w:sz w:val="24"/>
          <w:u w:val="single"/>
        </w:rPr>
        <w:t>Lern- und Entwicklungsplanung</w:t>
      </w:r>
      <w:r>
        <w:rPr>
          <w:rStyle w:val="Funotenzeichen"/>
          <w:rFonts w:asciiTheme="minorHAnsi" w:eastAsiaTheme="minorHAnsi" w:hAnsiTheme="minorHAnsi" w:cstheme="minorBidi"/>
          <w:color w:val="auto"/>
          <w:sz w:val="24"/>
          <w:u w:val="single"/>
        </w:rPr>
        <w:footnoteReference w:id="2"/>
      </w:r>
      <w:r>
        <w:rPr>
          <w:rFonts w:asciiTheme="minorHAnsi" w:eastAsiaTheme="minorHAnsi" w:hAnsiTheme="minorHAnsi" w:cstheme="minorBidi"/>
          <w:color w:val="auto"/>
          <w:sz w:val="24"/>
        </w:rPr>
        <w:t xml:space="preserve"> schwerpunktmäßig folgende Entwicklungschancen zum Tragen kommen:</w:t>
      </w:r>
      <w:r>
        <w:rPr>
          <w:rFonts w:asciiTheme="minorHAnsi" w:eastAsiaTheme="minorHAnsi" w:hAnsiTheme="minorHAnsi" w:cstheme="minorBidi"/>
          <w:color w:val="auto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2451"/>
        <w:gridCol w:w="3321"/>
      </w:tblGrid>
      <w:tr w:rsidR="006514E5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6514E5" w:rsidRPr="003D03FB" w:rsidRDefault="006514E5" w:rsidP="00734215">
            <w:pPr>
              <w:rPr>
                <w:b/>
              </w:rPr>
            </w:pPr>
            <w:r w:rsidRPr="003D03FB">
              <w:rPr>
                <w:b/>
              </w:rPr>
              <w:t>Entwicklungsbereiche</w:t>
            </w:r>
          </w:p>
        </w:tc>
        <w:tc>
          <w:tcPr>
            <w:tcW w:w="2451" w:type="dxa"/>
            <w:shd w:val="clear" w:color="auto" w:fill="FFFFFF" w:themeFill="background1"/>
          </w:tcPr>
          <w:p w:rsidR="006514E5" w:rsidRPr="00C46AC9" w:rsidRDefault="006514E5" w:rsidP="00734215">
            <w:pPr>
              <w:rPr>
                <w:b/>
              </w:rPr>
            </w:pPr>
            <w:r w:rsidRPr="003D03FB">
              <w:rPr>
                <w:b/>
              </w:rPr>
              <w:t>Chancen für die Förderung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:rsidR="006514E5" w:rsidRPr="003D03FB" w:rsidRDefault="006514E5" w:rsidP="00734215">
            <w:pPr>
              <w:rPr>
                <w:b/>
              </w:rPr>
            </w:pPr>
            <w:r w:rsidRPr="00C46AC9">
              <w:rPr>
                <w:b/>
              </w:rPr>
              <w:t xml:space="preserve"> (Mögliche) Konkretisierung</w:t>
            </w:r>
          </w:p>
        </w:tc>
      </w:tr>
      <w:tr w:rsidR="006514E5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6514E5" w:rsidRPr="00C4464D" w:rsidRDefault="006514E5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sprachliches </w:t>
            </w:r>
            <w:r>
              <w:rPr>
                <w:rFonts w:cs="Arial"/>
              </w:rPr>
              <w:t xml:space="preserve">und kommunikatives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Handeln</w:t>
            </w:r>
          </w:p>
        </w:tc>
        <w:tc>
          <w:tcPr>
            <w:tcW w:w="2451" w:type="dxa"/>
            <w:shd w:val="clear" w:color="auto" w:fill="FFFFFF" w:themeFill="background1"/>
          </w:tcPr>
          <w:p w:rsidR="006514E5" w:rsidRDefault="006514E5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Beachtung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Gesprächsregeln</w:t>
            </w:r>
            <w:proofErr w:type="spellEnd"/>
          </w:p>
          <w:p w:rsidR="006514E5" w:rsidRPr="008D42CC" w:rsidRDefault="006514E5" w:rsidP="00734215">
            <w:pPr>
              <w:rPr>
                <w:rFonts w:cs="Arial"/>
                <w:lang w:val="en-US"/>
              </w:rPr>
            </w:pPr>
          </w:p>
          <w:p w:rsidR="006514E5" w:rsidRPr="008D42CC" w:rsidRDefault="006514E5" w:rsidP="00734215">
            <w:pPr>
              <w:rPr>
                <w:rFonts w:cs="Arial"/>
                <w:lang w:val="en-US"/>
              </w:rPr>
            </w:pPr>
          </w:p>
          <w:p w:rsidR="006514E5" w:rsidRPr="008D42CC" w:rsidRDefault="006514E5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</w: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Vereinfachung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sprachlicher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Handlungen</w:t>
            </w:r>
            <w:proofErr w:type="spellEnd"/>
          </w:p>
          <w:p w:rsidR="006514E5" w:rsidRDefault="006514E5" w:rsidP="00734215">
            <w:pPr>
              <w:rPr>
                <w:rFonts w:cs="Arial"/>
                <w:lang w:val="en-US"/>
              </w:rPr>
            </w:pPr>
          </w:p>
          <w:p w:rsidR="006514E5" w:rsidRDefault="006514E5" w:rsidP="00734215">
            <w:pPr>
              <w:rPr>
                <w:rFonts w:cs="Arial"/>
                <w:lang w:val="en-US"/>
              </w:rPr>
            </w:pPr>
          </w:p>
          <w:p w:rsidR="006514E5" w:rsidRDefault="006514E5" w:rsidP="00734215">
            <w:pPr>
              <w:rPr>
                <w:rFonts w:cs="Arial"/>
                <w:lang w:val="en-US"/>
              </w:rPr>
            </w:pPr>
          </w:p>
          <w:p w:rsidR="006514E5" w:rsidRDefault="006514E5" w:rsidP="00734215">
            <w:pPr>
              <w:rPr>
                <w:rFonts w:cs="Arial"/>
                <w:lang w:val="en-US"/>
              </w:rPr>
            </w:pPr>
          </w:p>
          <w:p w:rsidR="006514E5" w:rsidRPr="00C46AC9" w:rsidRDefault="006514E5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ab/>
            </w:r>
          </w:p>
        </w:tc>
        <w:tc>
          <w:tcPr>
            <w:tcW w:w="3321" w:type="dxa"/>
            <w:shd w:val="clear" w:color="auto" w:fill="FFFFFF" w:themeFill="background1"/>
          </w:tcPr>
          <w:p w:rsidR="006514E5" w:rsidRPr="008D42CC" w:rsidRDefault="006514E5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Tischkarte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Ziel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Ich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melde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mich</w:t>
            </w:r>
            <w:proofErr w:type="spellEnd"/>
            <w:r w:rsidRPr="008D42CC">
              <w:rPr>
                <w:rFonts w:cs="Arial"/>
                <w:lang w:val="en-US"/>
              </w:rPr>
              <w:t xml:space="preserve">!“ </w:t>
            </w:r>
            <w:proofErr w:type="spellStart"/>
            <w:r w:rsidRPr="008D42CC">
              <w:rPr>
                <w:rFonts w:cs="Arial"/>
                <w:lang w:val="en-US"/>
              </w:rPr>
              <w:t>o.ä</w:t>
            </w:r>
            <w:proofErr w:type="spellEnd"/>
            <w:r w:rsidRPr="008D42CC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Kontrollkärtchen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beim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Sitznachbarn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stummem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Impuls</w:t>
            </w:r>
            <w:proofErr w:type="spellEnd"/>
          </w:p>
          <w:p w:rsidR="006514E5" w:rsidRPr="00BD49CD" w:rsidRDefault="006514E5" w:rsidP="006514E5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Satzbausteine</w:t>
            </w:r>
            <w:proofErr w:type="spellEnd"/>
            <w:r w:rsidRPr="008D42CC">
              <w:rPr>
                <w:rFonts w:cs="Arial"/>
                <w:lang w:val="en-US"/>
              </w:rPr>
              <w:t xml:space="preserve"> und </w:t>
            </w:r>
            <w:proofErr w:type="spellStart"/>
            <w:r w:rsidRPr="008D42CC">
              <w:rPr>
                <w:rFonts w:cs="Arial"/>
                <w:lang w:val="en-US"/>
              </w:rPr>
              <w:t>Satzanfänge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Wortfelder</w:t>
            </w:r>
            <w:proofErr w:type="spellEnd"/>
            <w:r w:rsidRPr="008D42CC">
              <w:rPr>
                <w:rFonts w:cs="Arial"/>
                <w:lang w:val="en-US"/>
              </w:rPr>
              <w:t xml:space="preserve">, </w:t>
            </w:r>
            <w:proofErr w:type="spellStart"/>
            <w:r w:rsidRPr="008D42CC">
              <w:rPr>
                <w:rFonts w:cs="Arial"/>
                <w:lang w:val="en-US"/>
              </w:rPr>
              <w:t>Begriffsübersicht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Erklärungen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Klären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Begriffen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wie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Lösung</w:t>
            </w:r>
            <w:proofErr w:type="spellEnd"/>
            <w:r w:rsidRPr="008D42CC">
              <w:rPr>
                <w:rFonts w:cs="Arial"/>
                <w:lang w:val="en-US"/>
              </w:rPr>
              <w:t xml:space="preserve">“ </w:t>
            </w:r>
            <w:proofErr w:type="spellStart"/>
            <w:r w:rsidRPr="008D42CC">
              <w:rPr>
                <w:rFonts w:cs="Arial"/>
                <w:lang w:val="en-US"/>
              </w:rPr>
              <w:t>oder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Niederschlag</w:t>
            </w:r>
            <w:proofErr w:type="spellEnd"/>
            <w:r w:rsidRPr="008D42CC">
              <w:rPr>
                <w:rFonts w:cs="Arial"/>
                <w:lang w:val="en-US"/>
              </w:rPr>
              <w:t xml:space="preserve">“, die </w:t>
            </w:r>
            <w:proofErr w:type="spellStart"/>
            <w:r w:rsidRPr="008D42CC">
              <w:rPr>
                <w:rFonts w:cs="Arial"/>
                <w:lang w:val="en-US"/>
              </w:rPr>
              <w:t>mehrfache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unterschiedliche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Bedeutungen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haben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Kooperative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Schreibmöglichkeiten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>
              <w:rPr>
                <w:rFonts w:cs="Arial"/>
                <w:lang w:val="en-US"/>
              </w:rPr>
              <w:t>Kein</w:t>
            </w:r>
            <w:proofErr w:type="spellEnd"/>
            <w:r>
              <w:rPr>
                <w:rFonts w:cs="Arial"/>
                <w:lang w:val="en-US"/>
              </w:rPr>
              <w:t xml:space="preserve"> „</w:t>
            </w:r>
            <w:proofErr w:type="spellStart"/>
            <w:r>
              <w:rPr>
                <w:rFonts w:cs="Arial"/>
                <w:lang w:val="en-US"/>
              </w:rPr>
              <w:t>öffentliches</w:t>
            </w:r>
            <w:proofErr w:type="spellEnd"/>
            <w:r>
              <w:rPr>
                <w:rFonts w:cs="Arial"/>
                <w:lang w:val="en-US"/>
              </w:rPr>
              <w:t xml:space="preserve">“ </w:t>
            </w:r>
            <w:proofErr w:type="spellStart"/>
            <w:r>
              <w:rPr>
                <w:rFonts w:cs="Arial"/>
                <w:lang w:val="en-US"/>
              </w:rPr>
              <w:t>S</w:t>
            </w:r>
            <w:r w:rsidRPr="008D42CC">
              <w:rPr>
                <w:rFonts w:cs="Arial"/>
                <w:lang w:val="en-US"/>
              </w:rPr>
              <w:t>chreiben</w:t>
            </w:r>
            <w:proofErr w:type="spellEnd"/>
          </w:p>
        </w:tc>
      </w:tr>
      <w:tr w:rsidR="006514E5" w:rsidRPr="003D03FB" w:rsidTr="00734215">
        <w:trPr>
          <w:trHeight w:val="787"/>
        </w:trPr>
        <w:tc>
          <w:tcPr>
            <w:tcW w:w="2412" w:type="dxa"/>
            <w:shd w:val="clear" w:color="auto" w:fill="FFFFFF" w:themeFill="background1"/>
            <w:vAlign w:val="center"/>
          </w:tcPr>
          <w:p w:rsidR="006514E5" w:rsidRPr="00C4464D" w:rsidRDefault="006514E5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>Kognition</w:t>
            </w:r>
            <w:r>
              <w:rPr>
                <w:rFonts w:cs="Arial"/>
              </w:rPr>
              <w:t xml:space="preserve"> /</w:t>
            </w:r>
            <w:r>
              <w:rPr>
                <w:rFonts w:cs="Arial"/>
              </w:rPr>
              <w:br/>
              <w:t>Lernentwicklung</w:t>
            </w:r>
          </w:p>
        </w:tc>
        <w:tc>
          <w:tcPr>
            <w:tcW w:w="2451" w:type="dxa"/>
            <w:shd w:val="clear" w:color="auto" w:fill="FFFFFF" w:themeFill="background1"/>
          </w:tcPr>
          <w:p w:rsidR="006514E5" w:rsidRPr="006C0611" w:rsidRDefault="006514E5" w:rsidP="00734215">
            <w:pPr>
              <w:rPr>
                <w:rFonts w:cs="Arial"/>
              </w:rPr>
            </w:pPr>
            <w:r w:rsidRPr="006C0611">
              <w:rPr>
                <w:rFonts w:cs="Arial"/>
              </w:rPr>
              <w:t>2e: Vereinfachung der Vorgehensweise</w:t>
            </w:r>
          </w:p>
          <w:p w:rsidR="006514E5" w:rsidRDefault="006514E5" w:rsidP="00734215">
            <w:pPr>
              <w:rPr>
                <w:rFonts w:cs="Arial"/>
              </w:rPr>
            </w:pPr>
          </w:p>
          <w:p w:rsidR="006514E5" w:rsidRPr="00C46AC9" w:rsidRDefault="006514E5" w:rsidP="00734215">
            <w:pPr>
              <w:rPr>
                <w:rFonts w:cs="Arial"/>
              </w:rPr>
            </w:pPr>
            <w:r w:rsidRPr="006C0611">
              <w:rPr>
                <w:rFonts w:cs="Arial"/>
              </w:rPr>
              <w:tab/>
            </w:r>
            <w:r w:rsidRPr="006C0611">
              <w:rPr>
                <w:rFonts w:cs="Arial"/>
              </w:rPr>
              <w:tab/>
            </w:r>
          </w:p>
        </w:tc>
        <w:tc>
          <w:tcPr>
            <w:tcW w:w="3321" w:type="dxa"/>
            <w:shd w:val="clear" w:color="auto" w:fill="FFFFFF" w:themeFill="background1"/>
          </w:tcPr>
          <w:p w:rsidR="006514E5" w:rsidRPr="003D03FB" w:rsidRDefault="006514E5" w:rsidP="006514E5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C0611">
              <w:rPr>
                <w:rFonts w:cs="Arial"/>
              </w:rPr>
              <w:t>Vorgehen durch Beispiel nachvollziehen</w:t>
            </w:r>
            <w:r>
              <w:rPr>
                <w:rFonts w:cs="Arial"/>
              </w:rPr>
              <w:br/>
              <w:t xml:space="preserve">- </w:t>
            </w:r>
            <w:r w:rsidRPr="006C0611">
              <w:rPr>
                <w:rFonts w:cs="Arial"/>
              </w:rPr>
              <w:t>Leitfaden zum Erstellen von Atom- und Ion-Zeichnungen</w:t>
            </w:r>
            <w:r>
              <w:rPr>
                <w:rFonts w:cs="Arial"/>
              </w:rPr>
              <w:br/>
              <w:t xml:space="preserve">- </w:t>
            </w:r>
            <w:r w:rsidRPr="006C0611">
              <w:rPr>
                <w:rFonts w:cs="Arial"/>
              </w:rPr>
              <w:t>Grundversion, bei der Atomkern und –hülle schon vorbereitet sind</w:t>
            </w:r>
          </w:p>
        </w:tc>
      </w:tr>
    </w:tbl>
    <w:p w:rsidR="00EE2DE5" w:rsidRDefault="00EE2DE5"/>
    <w:sectPr w:rsidR="00EE2DE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33" w:rsidRDefault="00DB6A33" w:rsidP="00DB6A33">
      <w:pPr>
        <w:spacing w:after="0" w:line="240" w:lineRule="auto"/>
      </w:pPr>
      <w:r>
        <w:separator/>
      </w:r>
    </w:p>
  </w:endnote>
  <w:end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33" w:rsidRDefault="00DB6A33" w:rsidP="00DB6A33">
      <w:pPr>
        <w:spacing w:after="0" w:line="240" w:lineRule="auto"/>
      </w:pPr>
      <w:r>
        <w:separator/>
      </w:r>
    </w:p>
  </w:footnote>
  <w:foot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footnote>
  <w:footnote w:id="1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1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2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2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2A" w:rsidRDefault="006955AA">
    <w:pPr>
      <w:pStyle w:val="Kopfzeile"/>
    </w:pPr>
    <w:r>
      <w:t xml:space="preserve">E2 </w:t>
    </w:r>
    <w:r w:rsidRPr="00E932E4">
      <w:rPr>
        <w:sz w:val="20"/>
        <w:szCs w:val="20"/>
      </w:rPr>
      <w:t>Atome und Ionen verschiedener Elemente der 1., 2., 3., 6. und 7. Hauptgruppe zeichnen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0AE9"/>
    <w:multiLevelType w:val="multilevel"/>
    <w:tmpl w:val="53BC0A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3"/>
    <w:rsid w:val="00197381"/>
    <w:rsid w:val="002A6C98"/>
    <w:rsid w:val="002C340F"/>
    <w:rsid w:val="005A2786"/>
    <w:rsid w:val="00630389"/>
    <w:rsid w:val="00644AE1"/>
    <w:rsid w:val="006514E5"/>
    <w:rsid w:val="006955AA"/>
    <w:rsid w:val="008B36DF"/>
    <w:rsid w:val="00C6536C"/>
    <w:rsid w:val="00DB6A33"/>
    <w:rsid w:val="00E26E5D"/>
    <w:rsid w:val="00EA6377"/>
    <w:rsid w:val="00EB6F2A"/>
    <w:rsid w:val="00E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6514E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6514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1" Type="http://schemas.openxmlformats.org/officeDocument/2006/relationships/hyperlink" Target="https://www.schulentwicklung.nrw.de/cms/inklusiver-fachunterricht/entwicklungsbereiche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92375BBC.dotm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Eßer, Susanne</dc:creator>
  <cp:lastModifiedBy>Eßer, Susanne</cp:lastModifiedBy>
  <cp:revision>2</cp:revision>
  <dcterms:created xsi:type="dcterms:W3CDTF">2018-05-25T11:53:00Z</dcterms:created>
  <dcterms:modified xsi:type="dcterms:W3CDTF">2018-05-25T11:53:00Z</dcterms:modified>
</cp:coreProperties>
</file>