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585"/>
        <w:tblW w:w="1459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40"/>
        <w:gridCol w:w="2370"/>
        <w:gridCol w:w="2370"/>
        <w:gridCol w:w="5116"/>
      </w:tblGrid>
      <w:tr w:rsidR="0032067C" w:rsidRPr="002C5E47" w14:paraId="2EDF12BF" w14:textId="77777777" w:rsidTr="008509C0">
        <w:tc>
          <w:tcPr>
            <w:tcW w:w="14596" w:type="dxa"/>
            <w:gridSpan w:val="4"/>
            <w:tcBorders>
              <w:bottom w:val="single" w:sz="4" w:space="0" w:color="auto"/>
            </w:tcBorders>
          </w:tcPr>
          <w:p w14:paraId="0A680F23" w14:textId="11239D27" w:rsidR="003644D8" w:rsidRPr="001B293D" w:rsidRDefault="003644D8" w:rsidP="008509C0">
            <w:pPr>
              <w:pStyle w:val="Kopfzeile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120"/>
              <w:jc w:val="center"/>
              <w:rPr>
                <w:rFonts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1B293D">
              <w:rPr>
                <w:rFonts w:cs="Arial"/>
                <w:b/>
                <w:sz w:val="32"/>
                <w:szCs w:val="32"/>
              </w:rPr>
              <w:t>Jahrgangsstufe 6</w:t>
            </w:r>
            <w:r w:rsidR="001B293D">
              <w:rPr>
                <w:rFonts w:cs="Arial"/>
                <w:b/>
                <w:sz w:val="32"/>
                <w:szCs w:val="32"/>
              </w:rPr>
              <w:t>:</w:t>
            </w:r>
          </w:p>
          <w:p w14:paraId="5E542743" w14:textId="19E35B05" w:rsidR="000247A9" w:rsidRPr="000247A9" w:rsidRDefault="002D3A3A" w:rsidP="008509C0">
            <w:pPr>
              <w:pStyle w:val="Kopfzeile"/>
              <w:widowControl w:val="0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UV 3</w:t>
            </w:r>
            <w:r w:rsidR="000247A9">
              <w:rPr>
                <w:rFonts w:cs="Arial"/>
                <w:b/>
                <w:sz w:val="32"/>
                <w:szCs w:val="32"/>
              </w:rPr>
              <w:t xml:space="preserve"> „P</w:t>
            </w:r>
            <w:r w:rsidR="000247A9" w:rsidRPr="000247A9">
              <w:rPr>
                <w:rFonts w:cs="Arial"/>
                <w:b/>
                <w:sz w:val="32"/>
                <w:szCs w:val="32"/>
              </w:rPr>
              <w:t>ubertät</w:t>
            </w:r>
            <w:r w:rsidR="000247A9">
              <w:rPr>
                <w:rFonts w:cs="Arial"/>
                <w:b/>
                <w:sz w:val="32"/>
                <w:szCs w:val="32"/>
              </w:rPr>
              <w:t xml:space="preserve"> – </w:t>
            </w:r>
            <w:r w:rsidR="000247A9" w:rsidRPr="000247A9">
              <w:rPr>
                <w:rFonts w:cs="Arial"/>
                <w:b/>
                <w:sz w:val="32"/>
                <w:szCs w:val="32"/>
              </w:rPr>
              <w:t>Erwachsen werden</w:t>
            </w:r>
            <w:r w:rsidR="000247A9">
              <w:rPr>
                <w:rFonts w:cs="Arial"/>
                <w:b/>
                <w:sz w:val="32"/>
                <w:szCs w:val="32"/>
              </w:rPr>
              <w:t>“</w:t>
            </w:r>
          </w:p>
          <w:p w14:paraId="45A3902E" w14:textId="5DECC8E5" w:rsidR="0032067C" w:rsidRPr="003644D8" w:rsidRDefault="00B2652F" w:rsidP="008509C0">
            <w:pPr>
              <w:spacing w:before="60" w:after="60"/>
              <w:mirrorIndents/>
              <w:jc w:val="center"/>
              <w:rPr>
                <w:rFonts w:eastAsia="Times New Roman" w:cs="Arial"/>
                <w:b/>
                <w:i/>
                <w:sz w:val="24"/>
                <w:lang w:eastAsia="de-DE"/>
              </w:rPr>
            </w:pPr>
            <w:r w:rsidRPr="0032710E">
              <w:rPr>
                <w:rFonts w:cs="Arial"/>
                <w:sz w:val="24"/>
                <w:szCs w:val="32"/>
              </w:rPr>
              <w:t xml:space="preserve">(ca. 7 </w:t>
            </w:r>
            <w:proofErr w:type="spellStart"/>
            <w:r w:rsidRPr="0032710E">
              <w:rPr>
                <w:rFonts w:cs="Arial"/>
                <w:sz w:val="24"/>
                <w:szCs w:val="32"/>
              </w:rPr>
              <w:t>Ustd</w:t>
            </w:r>
            <w:proofErr w:type="spellEnd"/>
            <w:r w:rsidRPr="0032710E">
              <w:rPr>
                <w:rFonts w:cs="Arial"/>
                <w:sz w:val="24"/>
                <w:szCs w:val="32"/>
              </w:rPr>
              <w:t xml:space="preserve">., </w:t>
            </w:r>
            <w:r w:rsidRPr="0032710E">
              <w:rPr>
                <w:rFonts w:cs="Arial"/>
                <w:color w:val="0070C0"/>
                <w:sz w:val="24"/>
                <w:szCs w:val="32"/>
              </w:rPr>
              <w:t>in blau: fakultative Aspekte bei höherem Stundenkontingent)</w:t>
            </w:r>
          </w:p>
        </w:tc>
      </w:tr>
      <w:tr w:rsidR="0032067C" w:rsidRPr="00256008" w14:paraId="0C4F3C76" w14:textId="77777777" w:rsidTr="008509C0">
        <w:tc>
          <w:tcPr>
            <w:tcW w:w="1459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EDF01A7" w14:textId="3BD5F29B" w:rsidR="0032067C" w:rsidRPr="00256008" w:rsidRDefault="0032067C" w:rsidP="008509C0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bookmarkStart w:id="1" w:name="_Hlk8886513"/>
            <w:r w:rsidRPr="00256008">
              <w:rPr>
                <w:rFonts w:cs="Arial"/>
                <w:b/>
              </w:rPr>
              <w:t>Inhaltsfeldbeschreibung</w:t>
            </w:r>
            <w:r w:rsidR="00B2652F" w:rsidRPr="00256008">
              <w:rPr>
                <w:rFonts w:cs="Arial"/>
                <w:b/>
              </w:rPr>
              <w:t xml:space="preserve"> (Auszug)</w:t>
            </w:r>
          </w:p>
        </w:tc>
      </w:tr>
      <w:bookmarkEnd w:id="1"/>
      <w:tr w:rsidR="0032067C" w:rsidRPr="00256008" w14:paraId="66990779" w14:textId="77777777" w:rsidTr="008509C0">
        <w:tc>
          <w:tcPr>
            <w:tcW w:w="14596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68B68CDE" w14:textId="31EB9740" w:rsidR="0032067C" w:rsidRPr="00256008" w:rsidRDefault="0032067C" w:rsidP="008509C0">
            <w:pPr>
              <w:spacing w:after="60"/>
              <w:jc w:val="both"/>
              <w:rPr>
                <w:rFonts w:cs="Arial"/>
                <w:szCs w:val="24"/>
              </w:rPr>
            </w:pPr>
            <w:r w:rsidRPr="00256008">
              <w:rPr>
                <w:rFonts w:cs="Arial"/>
                <w:szCs w:val="24"/>
              </w:rPr>
              <w:t>Der Beitrag des Faches Biologie zur Sexualerziehung fördert das Verständnis</w:t>
            </w:r>
            <w:r w:rsidR="00A142AB">
              <w:rPr>
                <w:rFonts w:cs="Arial"/>
                <w:szCs w:val="24"/>
              </w:rPr>
              <w:t xml:space="preserve"> von körperlichen und psychischen</w:t>
            </w:r>
            <w:r w:rsidRPr="00256008">
              <w:rPr>
                <w:rFonts w:cs="Arial"/>
                <w:szCs w:val="24"/>
              </w:rPr>
              <w:t xml:space="preserve"> Verände</w:t>
            </w:r>
            <w:r w:rsidRPr="00256008">
              <w:rPr>
                <w:rFonts w:cs="Arial"/>
                <w:szCs w:val="24"/>
              </w:rPr>
              <w:softHyphen/>
              <w:t>rungen in der Pubertät und unterstützt die Persönlichkeits</w:t>
            </w:r>
            <w:r w:rsidRPr="00256008">
              <w:rPr>
                <w:rFonts w:cs="Arial"/>
                <w:szCs w:val="24"/>
              </w:rPr>
              <w:softHyphen/>
              <w:t>entwicklung durch die Reflexion der eigenen Rolle und des eigenen Handelns. Leitend sind insgesamt die Erziehung zu partner</w:t>
            </w:r>
            <w:r w:rsidR="003B518E">
              <w:rPr>
                <w:rFonts w:cs="Arial"/>
                <w:szCs w:val="24"/>
              </w:rPr>
              <w:t>schaftlichem und verantwortungs</w:t>
            </w:r>
            <w:r w:rsidRPr="00256008">
              <w:rPr>
                <w:rFonts w:cs="Arial"/>
                <w:szCs w:val="24"/>
              </w:rPr>
              <w:t>bewusstem Handeln, zu Respekt vor verschiedenen sexuellen Verhaltensweisen und Orientierungen sowie zum Nein-Sagen-Können in unterschied</w:t>
            </w:r>
            <w:r w:rsidRPr="00256008">
              <w:rPr>
                <w:rFonts w:cs="Arial"/>
                <w:szCs w:val="24"/>
              </w:rPr>
              <w:softHyphen/>
              <w:t>lichen Zusammenhängen und Situationen.</w:t>
            </w:r>
          </w:p>
          <w:p w14:paraId="3E4714F0" w14:textId="0AE2D612" w:rsidR="0032067C" w:rsidRPr="00256008" w:rsidRDefault="0032067C" w:rsidP="008509C0">
            <w:pPr>
              <w:spacing w:after="60"/>
              <w:jc w:val="both"/>
              <w:rPr>
                <w:rFonts w:cs="Arial"/>
                <w:szCs w:val="24"/>
              </w:rPr>
            </w:pPr>
            <w:r w:rsidRPr="00256008">
              <w:rPr>
                <w:rFonts w:cs="Arial"/>
                <w:szCs w:val="24"/>
              </w:rPr>
              <w:t>Das biologische Fachwissen bildet eine Grundlage für die Über</w:t>
            </w:r>
            <w:r w:rsidRPr="00256008">
              <w:rPr>
                <w:rFonts w:cs="Arial"/>
                <w:szCs w:val="24"/>
              </w:rPr>
              <w:softHyphen/>
              <w:t>nahme von Verantwortung in einer Partnerschaft und in der Schwan</w:t>
            </w:r>
            <w:r w:rsidRPr="00256008">
              <w:rPr>
                <w:rFonts w:cs="Arial"/>
                <w:szCs w:val="24"/>
              </w:rPr>
              <w:softHyphen/>
              <w:t>ger</w:t>
            </w:r>
            <w:r w:rsidRPr="00256008">
              <w:rPr>
                <w:rFonts w:cs="Arial"/>
                <w:szCs w:val="24"/>
              </w:rPr>
              <w:softHyphen/>
              <w:t xml:space="preserve">schaft. </w:t>
            </w:r>
            <w:r w:rsidR="001B293D">
              <w:rPr>
                <w:rFonts w:cs="Arial"/>
                <w:szCs w:val="24"/>
              </w:rPr>
              <w:t>[...]</w:t>
            </w:r>
            <w:r w:rsidR="00E14992" w:rsidRPr="00256008">
              <w:rPr>
                <w:rFonts w:cs="Arial"/>
                <w:szCs w:val="24"/>
              </w:rPr>
              <w:t xml:space="preserve"> </w:t>
            </w:r>
            <w:r w:rsidRPr="00256008">
              <w:rPr>
                <w:rFonts w:cs="Arial"/>
                <w:szCs w:val="24"/>
              </w:rPr>
              <w:t>Über die mensch</w:t>
            </w:r>
            <w:r w:rsidRPr="00256008">
              <w:rPr>
                <w:rFonts w:cs="Arial"/>
                <w:szCs w:val="24"/>
              </w:rPr>
              <w:softHyphen/>
              <w:t>li</w:t>
            </w:r>
            <w:r w:rsidRPr="00256008">
              <w:rPr>
                <w:rFonts w:cs="Arial"/>
                <w:szCs w:val="24"/>
              </w:rPr>
              <w:softHyphen/>
              <w:t>che Sexualität hinaus werden allgemeinbiologische Zusammen</w:t>
            </w:r>
            <w:r w:rsidRPr="00256008">
              <w:rPr>
                <w:rFonts w:cs="Arial"/>
                <w:szCs w:val="24"/>
              </w:rPr>
              <w:softHyphen/>
              <w:t>hän</w:t>
            </w:r>
            <w:r w:rsidRPr="00256008">
              <w:rPr>
                <w:rFonts w:cs="Arial"/>
                <w:szCs w:val="24"/>
              </w:rPr>
              <w:softHyphen/>
              <w:t>ge im Bereich Fortpflanzung und Individualentwicklung deut</w:t>
            </w:r>
            <w:r w:rsidRPr="00256008">
              <w:rPr>
                <w:rFonts w:cs="Arial"/>
                <w:szCs w:val="24"/>
              </w:rPr>
              <w:softHyphen/>
              <w:t xml:space="preserve">lich. </w:t>
            </w:r>
          </w:p>
          <w:p w14:paraId="56CF37B5" w14:textId="4ECFAF88" w:rsidR="0032067C" w:rsidRPr="00256008" w:rsidRDefault="0032067C" w:rsidP="008509C0">
            <w:pPr>
              <w:spacing w:after="60"/>
              <w:jc w:val="both"/>
              <w:rPr>
                <w:rFonts w:cs="Arial"/>
                <w:szCs w:val="24"/>
              </w:rPr>
            </w:pPr>
            <w:r w:rsidRPr="00256008">
              <w:rPr>
                <w:rFonts w:cs="Arial"/>
                <w:szCs w:val="24"/>
              </w:rPr>
              <w:t xml:space="preserve">Wesentliche Elemente der Sexualerziehung, die in diesem </w:t>
            </w:r>
            <w:proofErr w:type="spellStart"/>
            <w:r w:rsidRPr="00256008">
              <w:rPr>
                <w:rFonts w:cs="Arial"/>
                <w:szCs w:val="24"/>
              </w:rPr>
              <w:t>In</w:t>
            </w:r>
            <w:r w:rsidRPr="00256008">
              <w:rPr>
                <w:rFonts w:cs="Arial"/>
                <w:szCs w:val="24"/>
              </w:rPr>
              <w:softHyphen/>
              <w:t>halts</w:t>
            </w:r>
            <w:r w:rsidRPr="00256008">
              <w:rPr>
                <w:rFonts w:cs="Arial"/>
                <w:szCs w:val="24"/>
              </w:rPr>
              <w:softHyphen/>
              <w:t>feld</w:t>
            </w:r>
            <w:proofErr w:type="spellEnd"/>
            <w:r w:rsidRPr="00256008">
              <w:rPr>
                <w:rFonts w:cs="Arial"/>
                <w:szCs w:val="24"/>
              </w:rPr>
              <w:t xml:space="preserve"> angesprochen werden, aber über das biologische Fach</w:t>
            </w:r>
            <w:r w:rsidRPr="00256008">
              <w:rPr>
                <w:rFonts w:cs="Arial"/>
                <w:szCs w:val="24"/>
              </w:rPr>
              <w:softHyphen/>
              <w:t>wissen hinausgehen, erfordern in der Umsetzung ein in der Schule abgestimmtes fächerübergreifendes Konzept.</w:t>
            </w:r>
          </w:p>
        </w:tc>
      </w:tr>
      <w:tr w:rsidR="0032067C" w:rsidRPr="00256008" w14:paraId="4EA7B5AA" w14:textId="77777777" w:rsidTr="008509C0">
        <w:tc>
          <w:tcPr>
            <w:tcW w:w="711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7C09C4E" w14:textId="77777777" w:rsidR="0032067C" w:rsidRPr="00256008" w:rsidRDefault="0032067C" w:rsidP="008509C0">
            <w:pPr>
              <w:spacing w:before="120" w:after="60"/>
              <w:ind w:left="714" w:hanging="357"/>
              <w:jc w:val="center"/>
              <w:rPr>
                <w:rFonts w:cs="Arial"/>
                <w:b/>
                <w:szCs w:val="24"/>
              </w:rPr>
            </w:pPr>
            <w:r w:rsidRPr="00256008">
              <w:rPr>
                <w:rFonts w:cs="Arial"/>
                <w:b/>
                <w:szCs w:val="24"/>
              </w:rPr>
              <w:t>Erweiterung des Kompetenzbereichs Kommunikation</w:t>
            </w:r>
          </w:p>
        </w:tc>
        <w:tc>
          <w:tcPr>
            <w:tcW w:w="7486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53390CAA" w14:textId="695A17EE" w:rsidR="0032067C" w:rsidRPr="00256008" w:rsidRDefault="0032067C" w:rsidP="008509C0">
            <w:pPr>
              <w:spacing w:before="120" w:after="60"/>
              <w:ind w:left="714" w:hanging="357"/>
              <w:jc w:val="center"/>
              <w:rPr>
                <w:rFonts w:cs="Arial"/>
                <w:b/>
                <w:szCs w:val="24"/>
              </w:rPr>
            </w:pPr>
            <w:r w:rsidRPr="00256008">
              <w:rPr>
                <w:rFonts w:cs="Arial"/>
                <w:b/>
                <w:szCs w:val="24"/>
              </w:rPr>
              <w:t xml:space="preserve">Experimente / </w:t>
            </w:r>
            <w:r w:rsidR="00C0318D" w:rsidRPr="00256008">
              <w:rPr>
                <w:rFonts w:cs="Arial"/>
                <w:b/>
                <w:szCs w:val="24"/>
              </w:rPr>
              <w:t>Untersuchunge</w:t>
            </w:r>
            <w:r w:rsidR="003644D8" w:rsidRPr="00256008">
              <w:rPr>
                <w:rFonts w:cs="Arial"/>
                <w:b/>
                <w:szCs w:val="24"/>
              </w:rPr>
              <w:t xml:space="preserve">n </w:t>
            </w:r>
            <w:r w:rsidRPr="00256008">
              <w:rPr>
                <w:rFonts w:cs="Arial"/>
                <w:b/>
                <w:szCs w:val="24"/>
              </w:rPr>
              <w:t>/ Arbeit mit Modellen</w:t>
            </w:r>
          </w:p>
        </w:tc>
      </w:tr>
      <w:tr w:rsidR="0032067C" w:rsidRPr="00256008" w14:paraId="1A5A62AD" w14:textId="77777777" w:rsidTr="008509C0">
        <w:tc>
          <w:tcPr>
            <w:tcW w:w="7110" w:type="dxa"/>
            <w:gridSpan w:val="2"/>
            <w:tcBorders>
              <w:top w:val="single" w:sz="6" w:space="0" w:color="auto"/>
            </w:tcBorders>
          </w:tcPr>
          <w:p w14:paraId="14130729" w14:textId="77777777" w:rsidR="001B293D" w:rsidRDefault="0032067C" w:rsidP="008509C0">
            <w:pPr>
              <w:rPr>
                <w:rFonts w:cs="Arial"/>
              </w:rPr>
            </w:pPr>
            <w:r w:rsidRPr="001B293D">
              <w:rPr>
                <w:rFonts w:cs="Arial"/>
              </w:rPr>
              <w:t xml:space="preserve">K2 (Informationsverarbeitung): </w:t>
            </w:r>
          </w:p>
          <w:p w14:paraId="488FE225" w14:textId="4C25248D" w:rsidR="0032067C" w:rsidRPr="001B293D" w:rsidRDefault="001B293D" w:rsidP="008509C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Die Schülerinnen und Schüler können </w:t>
            </w:r>
            <w:r w:rsidR="0032067C" w:rsidRPr="001B293D">
              <w:rPr>
                <w:rFonts w:cs="Arial"/>
              </w:rPr>
              <w:t xml:space="preserve">nach Anleitung biologische Informationen </w:t>
            </w:r>
            <w:r w:rsidR="00447028">
              <w:rPr>
                <w:rFonts w:cs="Arial"/>
              </w:rPr>
              <w:t xml:space="preserve">und Daten </w:t>
            </w:r>
            <w:r w:rsidR="0032067C" w:rsidRPr="001B293D">
              <w:rPr>
                <w:rFonts w:cs="Arial"/>
              </w:rPr>
              <w:t xml:space="preserve">aus analogen und digitalen </w:t>
            </w:r>
            <w:proofErr w:type="spellStart"/>
            <w:r w:rsidR="0032067C" w:rsidRPr="001B293D">
              <w:rPr>
                <w:rFonts w:cs="Arial"/>
              </w:rPr>
              <w:t>Medien</w:t>
            </w:r>
            <w:r w:rsidR="00447028">
              <w:rPr>
                <w:rFonts w:cs="Arial"/>
              </w:rPr>
              <w:softHyphen/>
              <w:t>angeboten</w:t>
            </w:r>
            <w:proofErr w:type="spellEnd"/>
            <w:r w:rsidR="0032067C" w:rsidRPr="001B293D">
              <w:rPr>
                <w:rFonts w:cs="Arial"/>
              </w:rPr>
              <w:t xml:space="preserve"> (Fachtexte, </w:t>
            </w:r>
            <w:r w:rsidR="0032067C" w:rsidRPr="001B293D">
              <w:rPr>
                <w:rFonts w:cs="Arial"/>
                <w:color w:val="A6A6A6" w:themeColor="background1" w:themeShade="A6"/>
              </w:rPr>
              <w:t xml:space="preserve">Filme, Tabellen, </w:t>
            </w:r>
            <w:r w:rsidR="0032067C" w:rsidRPr="001B293D">
              <w:rPr>
                <w:rFonts w:cs="Arial"/>
              </w:rPr>
              <w:t>Diagramme, Abbildungen</w:t>
            </w:r>
            <w:r w:rsidR="0032067C" w:rsidRPr="001B293D">
              <w:rPr>
                <w:rFonts w:cs="Arial"/>
                <w:color w:val="A6A6A6" w:themeColor="background1" w:themeShade="A6"/>
              </w:rPr>
              <w:t>, Schemata</w:t>
            </w:r>
            <w:r w:rsidR="0032067C" w:rsidRPr="001B293D">
              <w:rPr>
                <w:rFonts w:cs="Arial"/>
              </w:rPr>
              <w:t xml:space="preserve">) entnehmen, sowie deren Kernaussagen wiedergeben </w:t>
            </w:r>
            <w:r w:rsidR="0032067C" w:rsidRPr="001B293D">
              <w:rPr>
                <w:rFonts w:cs="Arial"/>
                <w:color w:val="A6A6A6" w:themeColor="background1" w:themeShade="A6"/>
              </w:rPr>
              <w:t>und die Quelle notieren</w:t>
            </w:r>
            <w:r w:rsidR="0032067C" w:rsidRPr="001B293D">
              <w:rPr>
                <w:rFonts w:cs="Arial"/>
              </w:rPr>
              <w:t>.</w:t>
            </w:r>
            <w:r w:rsidR="0032067C" w:rsidRPr="001B293D">
              <w:rPr>
                <w:rFonts w:cs="Arial"/>
                <w:highlight w:val="yellow"/>
              </w:rPr>
              <w:t xml:space="preserve"> </w:t>
            </w:r>
          </w:p>
        </w:tc>
        <w:tc>
          <w:tcPr>
            <w:tcW w:w="7486" w:type="dxa"/>
            <w:gridSpan w:val="2"/>
            <w:tcBorders>
              <w:top w:val="single" w:sz="6" w:space="0" w:color="auto"/>
            </w:tcBorders>
          </w:tcPr>
          <w:p w14:paraId="30ED4AC6" w14:textId="3FC60F37" w:rsidR="00D9506B" w:rsidRPr="00256008" w:rsidRDefault="00345DBA" w:rsidP="008509C0">
            <w:pPr>
              <w:pStyle w:val="Listenabsatz"/>
              <w:numPr>
                <w:ilvl w:val="0"/>
                <w:numId w:val="29"/>
              </w:numPr>
              <w:spacing w:before="240" w:after="120"/>
              <w:rPr>
                <w:rFonts w:cs="Arial"/>
                <w:color w:val="0070C0"/>
              </w:rPr>
            </w:pPr>
            <w:r w:rsidRPr="00256008">
              <w:rPr>
                <w:rFonts w:cs="Arial"/>
                <w:color w:val="0070C0"/>
              </w:rPr>
              <w:t>Datenauswertung: Menstruationskalender</w:t>
            </w:r>
          </w:p>
        </w:tc>
      </w:tr>
      <w:tr w:rsidR="00EC6AE4" w:rsidRPr="00256008" w14:paraId="0FD41D60" w14:textId="77777777" w:rsidTr="008509C0">
        <w:tc>
          <w:tcPr>
            <w:tcW w:w="145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13816EB" w14:textId="53192788" w:rsidR="00EC6AE4" w:rsidRPr="00256008" w:rsidRDefault="003E0354" w:rsidP="008509C0">
            <w:pPr>
              <w:spacing w:before="120" w:after="60"/>
              <w:ind w:left="714" w:hanging="357"/>
              <w:jc w:val="center"/>
              <w:rPr>
                <w:rFonts w:cs="Arial"/>
                <w:b/>
                <w:szCs w:val="24"/>
              </w:rPr>
            </w:pPr>
            <w:r w:rsidRPr="00256008">
              <w:rPr>
                <w:rFonts w:cs="Arial"/>
                <w:b/>
                <w:szCs w:val="24"/>
              </w:rPr>
              <w:t xml:space="preserve">Beiträge zu den </w:t>
            </w:r>
            <w:r w:rsidR="00EC6AE4" w:rsidRPr="00256008">
              <w:rPr>
                <w:rFonts w:cs="Arial"/>
                <w:b/>
                <w:szCs w:val="24"/>
              </w:rPr>
              <w:t>Basiskonzepte</w:t>
            </w:r>
            <w:r w:rsidRPr="00256008">
              <w:rPr>
                <w:rFonts w:cs="Arial"/>
                <w:b/>
                <w:szCs w:val="24"/>
              </w:rPr>
              <w:t>n</w:t>
            </w:r>
          </w:p>
        </w:tc>
      </w:tr>
      <w:tr w:rsidR="000247A9" w:rsidRPr="00256008" w14:paraId="7724F864" w14:textId="77777777" w:rsidTr="008509C0">
        <w:tc>
          <w:tcPr>
            <w:tcW w:w="4740" w:type="dxa"/>
            <w:tcBorders>
              <w:top w:val="single" w:sz="6" w:space="0" w:color="auto"/>
            </w:tcBorders>
          </w:tcPr>
          <w:p w14:paraId="2E4D2D1B" w14:textId="1EB150C2" w:rsidR="000247A9" w:rsidRPr="00256008" w:rsidRDefault="000247A9" w:rsidP="008509C0">
            <w:pPr>
              <w:spacing w:before="120"/>
              <w:rPr>
                <w:rFonts w:cs="Arial"/>
                <w:b/>
                <w:szCs w:val="24"/>
              </w:rPr>
            </w:pPr>
            <w:r w:rsidRPr="00256008">
              <w:rPr>
                <w:rFonts w:eastAsia="Times New Roman" w:cs="Arial"/>
                <w:b/>
                <w:lang w:eastAsia="de-DE"/>
              </w:rPr>
              <w:t>System: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</w:tcBorders>
          </w:tcPr>
          <w:p w14:paraId="4688B5A5" w14:textId="77777777" w:rsidR="000247A9" w:rsidRPr="00256008" w:rsidRDefault="000247A9" w:rsidP="008509C0">
            <w:pPr>
              <w:spacing w:before="120"/>
              <w:rPr>
                <w:rFonts w:eastAsia="Times New Roman" w:cs="Arial"/>
                <w:b/>
                <w:lang w:eastAsia="de-DE"/>
              </w:rPr>
            </w:pPr>
            <w:r w:rsidRPr="00256008">
              <w:rPr>
                <w:rFonts w:eastAsia="Times New Roman" w:cs="Arial"/>
                <w:b/>
                <w:lang w:eastAsia="de-DE"/>
              </w:rPr>
              <w:t>Struktur und Funktion:</w:t>
            </w:r>
          </w:p>
          <w:p w14:paraId="6499B1AA" w14:textId="05AD48B9" w:rsidR="000247A9" w:rsidRPr="00256008" w:rsidRDefault="000247A9" w:rsidP="008509C0">
            <w:pPr>
              <w:spacing w:before="120"/>
              <w:rPr>
                <w:rFonts w:eastAsia="Times New Roman" w:cs="Arial"/>
                <w:lang w:eastAsia="de-DE"/>
              </w:rPr>
            </w:pPr>
            <w:r w:rsidRPr="00256008">
              <w:rPr>
                <w:rFonts w:eastAsia="Times New Roman" w:cs="Arial"/>
                <w:lang w:eastAsia="de-DE"/>
              </w:rPr>
              <w:t>Angepasstheit des menschlichen Körpers an die Reproduktionsfunktion</w:t>
            </w:r>
          </w:p>
        </w:tc>
        <w:tc>
          <w:tcPr>
            <w:tcW w:w="5116" w:type="dxa"/>
            <w:tcBorders>
              <w:top w:val="single" w:sz="6" w:space="0" w:color="auto"/>
            </w:tcBorders>
          </w:tcPr>
          <w:p w14:paraId="4800A21F" w14:textId="6776892F" w:rsidR="000247A9" w:rsidRPr="00256008" w:rsidRDefault="000247A9" w:rsidP="008509C0">
            <w:pPr>
              <w:spacing w:before="120" w:after="60"/>
              <w:rPr>
                <w:rFonts w:eastAsia="Times New Roman" w:cs="Arial"/>
                <w:b/>
                <w:lang w:eastAsia="de-DE"/>
              </w:rPr>
            </w:pPr>
            <w:r w:rsidRPr="00256008">
              <w:rPr>
                <w:rFonts w:eastAsia="Times New Roman" w:cs="Arial"/>
                <w:b/>
                <w:lang w:eastAsia="de-DE"/>
              </w:rPr>
              <w:t>Entwicklung:</w:t>
            </w:r>
          </w:p>
          <w:p w14:paraId="5B586790" w14:textId="77777777" w:rsidR="000247A9" w:rsidRPr="00256008" w:rsidRDefault="000247A9" w:rsidP="008509C0">
            <w:pPr>
              <w:spacing w:after="60"/>
              <w:rPr>
                <w:rFonts w:eastAsia="Times New Roman" w:cs="Arial"/>
                <w:lang w:eastAsia="de-DE"/>
              </w:rPr>
            </w:pPr>
            <w:r w:rsidRPr="00256008">
              <w:rPr>
                <w:rFonts w:eastAsia="Times New Roman" w:cs="Arial"/>
                <w:lang w:eastAsia="de-DE"/>
              </w:rPr>
              <w:t>Individualentwicklung des Menschen im Hinblick auf Geschlechtsreifung,</w:t>
            </w:r>
          </w:p>
          <w:p w14:paraId="6C6EF11E" w14:textId="6989D328" w:rsidR="000247A9" w:rsidRPr="00256008" w:rsidRDefault="000247A9" w:rsidP="008509C0">
            <w:pPr>
              <w:jc w:val="both"/>
              <w:rPr>
                <w:rFonts w:eastAsia="Times New Roman" w:cs="Arial"/>
                <w:lang w:eastAsia="de-DE"/>
              </w:rPr>
            </w:pPr>
            <w:r w:rsidRPr="00256008">
              <w:rPr>
                <w:rFonts w:eastAsia="Times New Roman" w:cs="Arial"/>
                <w:lang w:eastAsia="de-DE"/>
              </w:rPr>
              <w:t>Variabilität bei der Merkmalsausprägung in der Pubertät</w:t>
            </w:r>
          </w:p>
        </w:tc>
      </w:tr>
    </w:tbl>
    <w:p w14:paraId="0F15A442" w14:textId="0606B5D2" w:rsidR="001B293D" w:rsidRDefault="001B293D" w:rsidP="0032710E">
      <w:pPr>
        <w:spacing w:after="0" w:line="240" w:lineRule="auto"/>
        <w:mirrorIndents/>
        <w:rPr>
          <w:b/>
          <w:sz w:val="12"/>
        </w:rPr>
      </w:pPr>
    </w:p>
    <w:p w14:paraId="4A79F42F" w14:textId="77777777" w:rsidR="001B293D" w:rsidRDefault="001B293D">
      <w:pPr>
        <w:rPr>
          <w:b/>
          <w:sz w:val="12"/>
        </w:rPr>
      </w:pPr>
      <w:r>
        <w:rPr>
          <w:b/>
          <w:sz w:val="12"/>
        </w:rPr>
        <w:br w:type="page"/>
      </w:r>
    </w:p>
    <w:p w14:paraId="0AD41A6E" w14:textId="77777777" w:rsidR="00925EBC" w:rsidRPr="00256008" w:rsidRDefault="00925EBC" w:rsidP="0032710E">
      <w:pPr>
        <w:spacing w:after="0" w:line="240" w:lineRule="auto"/>
        <w:mirrorIndents/>
        <w:rPr>
          <w:b/>
          <w:sz w:val="12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4536"/>
        <w:gridCol w:w="6778"/>
      </w:tblGrid>
      <w:tr w:rsidR="00EF1547" w:rsidRPr="00E36D4A" w14:paraId="64829A90" w14:textId="77777777" w:rsidTr="001B293D">
        <w:trPr>
          <w:tblHeader/>
        </w:trPr>
        <w:tc>
          <w:tcPr>
            <w:tcW w:w="11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C03A65" w14:textId="36A9CB91" w:rsidR="00D702A6" w:rsidRPr="00B2652F" w:rsidRDefault="00790854" w:rsidP="0032710E">
            <w:pPr>
              <w:spacing w:before="60" w:after="60" w:line="240" w:lineRule="auto"/>
              <w:mirrorIndents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  <w:i/>
                <w:sz w:val="24"/>
                <w:lang w:eastAsia="de-DE"/>
              </w:rPr>
              <w:br w:type="page"/>
            </w:r>
            <w:r w:rsidR="00D702A6" w:rsidRPr="00B2652F">
              <w:rPr>
                <w:rFonts w:cs="Arial"/>
                <w:b/>
              </w:rPr>
              <w:t>Sequenzierung:</w:t>
            </w:r>
          </w:p>
          <w:p w14:paraId="118D0432" w14:textId="0557B666" w:rsidR="00D702A6" w:rsidRPr="00B2652F" w:rsidRDefault="00D702A6" w:rsidP="00B2652F">
            <w:pPr>
              <w:spacing w:before="120" w:after="60" w:line="240" w:lineRule="auto"/>
              <w:mirrorIndents/>
              <w:rPr>
                <w:rFonts w:cs="Arial"/>
                <w:b/>
                <w:i/>
              </w:rPr>
            </w:pPr>
            <w:r w:rsidRPr="00B2652F">
              <w:rPr>
                <w:rFonts w:cs="Arial"/>
                <w:b/>
                <w:i/>
              </w:rPr>
              <w:t>Fragestellungen</w:t>
            </w:r>
          </w:p>
          <w:p w14:paraId="69E6B1ED" w14:textId="4A696A81" w:rsidR="00D702A6" w:rsidRPr="00E36D4A" w:rsidRDefault="00D702A6" w:rsidP="0032710E">
            <w:pPr>
              <w:spacing w:before="120" w:after="60" w:line="240" w:lineRule="auto"/>
              <w:mirrorIndents/>
              <w:rPr>
                <w:rFonts w:cs="Arial"/>
              </w:rPr>
            </w:pPr>
            <w:r w:rsidRPr="00E36D4A">
              <w:rPr>
                <w:rFonts w:cs="Arial"/>
              </w:rPr>
              <w:t>inhaltliche Aspekte</w:t>
            </w:r>
          </w:p>
        </w:tc>
        <w:tc>
          <w:tcPr>
            <w:tcW w:w="15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4C10A" w14:textId="1F8EB4BF" w:rsidR="00D702A6" w:rsidRPr="00B2652F" w:rsidRDefault="00D702A6" w:rsidP="0032710E">
            <w:pPr>
              <w:spacing w:before="60" w:after="60" w:line="240" w:lineRule="auto"/>
              <w:mirrorIndents/>
              <w:rPr>
                <w:rFonts w:cs="Arial"/>
                <w:b/>
              </w:rPr>
            </w:pPr>
            <w:r w:rsidRPr="00B2652F">
              <w:rPr>
                <w:rFonts w:cs="Arial"/>
                <w:b/>
              </w:rPr>
              <w:t xml:space="preserve">Konkretisierte </w:t>
            </w:r>
            <w:proofErr w:type="spellStart"/>
            <w:r w:rsidRPr="00B2652F">
              <w:rPr>
                <w:rFonts w:cs="Arial"/>
                <w:b/>
              </w:rPr>
              <w:t>Kompetenzer</w:t>
            </w:r>
            <w:r w:rsidR="006F5E8B" w:rsidRPr="00B2652F">
              <w:rPr>
                <w:rFonts w:cs="Arial"/>
                <w:b/>
              </w:rPr>
              <w:softHyphen/>
            </w:r>
            <w:r w:rsidRPr="00B2652F">
              <w:rPr>
                <w:rFonts w:cs="Arial"/>
                <w:b/>
              </w:rPr>
              <w:t>war</w:t>
            </w:r>
            <w:r w:rsidR="006F5E8B" w:rsidRPr="00B2652F">
              <w:rPr>
                <w:rFonts w:cs="Arial"/>
                <w:b/>
              </w:rPr>
              <w:softHyphen/>
            </w:r>
            <w:r w:rsidRPr="00B2652F">
              <w:rPr>
                <w:rFonts w:cs="Arial"/>
                <w:b/>
              </w:rPr>
              <w:t>tungen</w:t>
            </w:r>
            <w:proofErr w:type="spellEnd"/>
            <w:r w:rsidRPr="00B2652F">
              <w:rPr>
                <w:rFonts w:cs="Arial"/>
                <w:b/>
              </w:rPr>
              <w:t xml:space="preserve"> des </w:t>
            </w:r>
            <w:r w:rsidR="003644D8" w:rsidRPr="00B2652F">
              <w:rPr>
                <w:rFonts w:cs="Arial"/>
                <w:b/>
              </w:rPr>
              <w:t>Kernlehrplans</w:t>
            </w:r>
          </w:p>
          <w:p w14:paraId="32AE84B6" w14:textId="3222779C" w:rsidR="00D702A6" w:rsidRPr="00E36D4A" w:rsidRDefault="00D702A6" w:rsidP="0032710E">
            <w:pPr>
              <w:spacing w:before="240" w:after="60" w:line="240" w:lineRule="auto"/>
              <w:mirrorIndents/>
              <w:rPr>
                <w:rFonts w:cs="Arial"/>
                <w:i/>
              </w:rPr>
            </w:pPr>
            <w:r w:rsidRPr="00E36D4A">
              <w:rPr>
                <w:rFonts w:cs="Arial"/>
              </w:rPr>
              <w:t>Schülerinnen und Schüler können</w:t>
            </w:r>
            <w:r w:rsidR="006F5E8B" w:rsidRPr="00E36D4A">
              <w:rPr>
                <w:rFonts w:cs="Arial"/>
              </w:rPr>
              <w:t>...</w:t>
            </w:r>
          </w:p>
        </w:tc>
        <w:tc>
          <w:tcPr>
            <w:tcW w:w="22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493D8" w14:textId="77777777" w:rsidR="00D702A6" w:rsidRPr="00B2652F" w:rsidRDefault="00D702A6" w:rsidP="0032710E">
            <w:pPr>
              <w:spacing w:before="60" w:after="60" w:line="240" w:lineRule="auto"/>
              <w:mirrorIndents/>
              <w:rPr>
                <w:rFonts w:eastAsia="Droid Sans Fallback" w:cs="Arial"/>
                <w:b/>
              </w:rPr>
            </w:pPr>
            <w:r w:rsidRPr="00B2652F">
              <w:rPr>
                <w:rFonts w:eastAsia="Droid Sans Fallback" w:cs="Arial"/>
                <w:b/>
              </w:rPr>
              <w:t>Didaktisch-methodische Anmerkungen und Empfehlungen</w:t>
            </w:r>
          </w:p>
          <w:p w14:paraId="07D07E1C" w14:textId="5C7684A9" w:rsidR="00B2652F" w:rsidRPr="001B293D" w:rsidRDefault="003644D8" w:rsidP="0032710E">
            <w:pPr>
              <w:spacing w:before="120" w:after="60" w:line="240" w:lineRule="auto"/>
              <w:mirrorIndents/>
              <w:rPr>
                <w:rFonts w:cs="Arial"/>
                <w:i/>
                <w:iCs/>
              </w:rPr>
            </w:pPr>
            <w:r w:rsidRPr="00E36D4A">
              <w:rPr>
                <w:rFonts w:cs="Arial"/>
                <w:i/>
                <w:iCs/>
              </w:rPr>
              <w:t>Kern</w:t>
            </w:r>
            <w:r w:rsidR="001B293D">
              <w:rPr>
                <w:rFonts w:cs="Arial"/>
                <w:i/>
                <w:iCs/>
              </w:rPr>
              <w:t xml:space="preserve">aussagen / Alltagsvorstellungen / </w:t>
            </w:r>
            <w:r w:rsidR="00B2652F" w:rsidRPr="00A85E86">
              <w:rPr>
                <w:rFonts w:cs="Arial"/>
                <w:i/>
                <w:iCs/>
                <w:color w:val="0070C0"/>
              </w:rPr>
              <w:t>fakultative Aspekte</w:t>
            </w:r>
          </w:p>
        </w:tc>
      </w:tr>
      <w:tr w:rsidR="00F2504E" w:rsidRPr="00E36D4A" w14:paraId="2F57A093" w14:textId="77777777" w:rsidTr="001B293D">
        <w:trPr>
          <w:trHeight w:val="595"/>
        </w:trPr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</w:tcPr>
          <w:p w14:paraId="72D467BE" w14:textId="77777777" w:rsidR="00F2504E" w:rsidRDefault="00F2504E" w:rsidP="00F2504E">
            <w:pPr>
              <w:spacing w:before="120" w:after="100" w:line="240" w:lineRule="auto"/>
              <w:rPr>
                <w:rFonts w:eastAsia="Times New Roman" w:cs="Arial"/>
                <w:b/>
                <w:i/>
                <w:lang w:eastAsia="de-DE"/>
              </w:rPr>
            </w:pPr>
            <w:r w:rsidRPr="00E36D4A">
              <w:rPr>
                <w:rFonts w:eastAsia="Times New Roman" w:cs="Arial"/>
                <w:b/>
                <w:i/>
                <w:lang w:eastAsia="de-DE"/>
              </w:rPr>
              <w:t>Wie verändern sich Jugend</w:t>
            </w:r>
            <w:r w:rsidRPr="00E36D4A">
              <w:rPr>
                <w:rFonts w:eastAsia="Times New Roman" w:cs="Arial"/>
                <w:b/>
                <w:i/>
                <w:lang w:eastAsia="de-DE"/>
              </w:rPr>
              <w:softHyphen/>
              <w:t>liche in der Pubertät?</w:t>
            </w:r>
          </w:p>
          <w:p w14:paraId="7DA784EC" w14:textId="77777777" w:rsidR="00567B66" w:rsidRPr="00E36D4A" w:rsidRDefault="00567B66" w:rsidP="00F2504E">
            <w:pPr>
              <w:spacing w:before="120" w:after="100" w:line="240" w:lineRule="auto"/>
              <w:rPr>
                <w:rFonts w:eastAsia="Times New Roman" w:cs="Arial"/>
                <w:b/>
                <w:i/>
                <w:lang w:eastAsia="de-DE"/>
              </w:rPr>
            </w:pPr>
          </w:p>
          <w:p w14:paraId="3B7487A0" w14:textId="203597F9" w:rsidR="006F5E8B" w:rsidRPr="00567B66" w:rsidRDefault="006F5E8B" w:rsidP="00567B66">
            <w:pPr>
              <w:spacing w:after="60" w:line="240" w:lineRule="auto"/>
              <w:rPr>
                <w:rFonts w:cs="Arial"/>
                <w:szCs w:val="20"/>
              </w:rPr>
            </w:pPr>
            <w:r w:rsidRPr="00567B66">
              <w:rPr>
                <w:rFonts w:cs="Arial"/>
                <w:szCs w:val="20"/>
              </w:rPr>
              <w:t xml:space="preserve">körperliche und </w:t>
            </w:r>
            <w:r w:rsidR="00447028">
              <w:rPr>
                <w:rFonts w:cs="Arial"/>
                <w:szCs w:val="20"/>
              </w:rPr>
              <w:t>psychische</w:t>
            </w:r>
            <w:r w:rsidRPr="00567B66">
              <w:rPr>
                <w:rFonts w:cs="Arial"/>
                <w:szCs w:val="20"/>
              </w:rPr>
              <w:t xml:space="preserve"> </w:t>
            </w:r>
            <w:r w:rsidR="00AE4BDB" w:rsidRPr="00567B66">
              <w:rPr>
                <w:rFonts w:cs="Arial"/>
                <w:szCs w:val="20"/>
              </w:rPr>
              <w:br/>
            </w:r>
            <w:r w:rsidRPr="00567B66">
              <w:rPr>
                <w:rFonts w:cs="Arial"/>
                <w:szCs w:val="20"/>
              </w:rPr>
              <w:t>Ver</w:t>
            </w:r>
            <w:r w:rsidRPr="00567B66">
              <w:rPr>
                <w:rFonts w:cs="Arial"/>
                <w:szCs w:val="20"/>
              </w:rPr>
              <w:softHyphen/>
              <w:t>än</w:t>
            </w:r>
            <w:r w:rsidRPr="00567B66">
              <w:rPr>
                <w:rFonts w:cs="Arial"/>
                <w:szCs w:val="20"/>
              </w:rPr>
              <w:softHyphen/>
              <w:t>de</w:t>
            </w:r>
            <w:r w:rsidRPr="00567B66">
              <w:rPr>
                <w:rFonts w:cs="Arial"/>
                <w:szCs w:val="20"/>
              </w:rPr>
              <w:softHyphen/>
              <w:t>rungen in der Pubertät</w:t>
            </w:r>
          </w:p>
          <w:p w14:paraId="049EEB6A" w14:textId="5FB9E64C" w:rsidR="00D03415" w:rsidRDefault="00D03415" w:rsidP="00D03415">
            <w:pPr>
              <w:pStyle w:val="Listenabsatz"/>
              <w:numPr>
                <w:ilvl w:val="0"/>
                <w:numId w:val="0"/>
              </w:numPr>
              <w:spacing w:after="60" w:line="240" w:lineRule="auto"/>
              <w:ind w:left="170"/>
              <w:contextualSpacing w:val="0"/>
              <w:jc w:val="left"/>
              <w:rPr>
                <w:rFonts w:cs="Arial"/>
                <w:szCs w:val="20"/>
              </w:rPr>
            </w:pPr>
          </w:p>
          <w:p w14:paraId="79C4D290" w14:textId="2455F220" w:rsidR="00D03415" w:rsidRDefault="00D03415" w:rsidP="00D03415">
            <w:pPr>
              <w:pStyle w:val="Listenabsatz"/>
              <w:numPr>
                <w:ilvl w:val="0"/>
                <w:numId w:val="0"/>
              </w:numPr>
              <w:spacing w:after="60" w:line="240" w:lineRule="auto"/>
              <w:ind w:left="170"/>
              <w:contextualSpacing w:val="0"/>
              <w:jc w:val="left"/>
              <w:rPr>
                <w:rFonts w:cs="Arial"/>
                <w:szCs w:val="20"/>
              </w:rPr>
            </w:pPr>
          </w:p>
          <w:p w14:paraId="1036789D" w14:textId="77777777" w:rsidR="00A27726" w:rsidRDefault="00A27726" w:rsidP="00D03415">
            <w:pPr>
              <w:pStyle w:val="Listenabsatz"/>
              <w:numPr>
                <w:ilvl w:val="0"/>
                <w:numId w:val="0"/>
              </w:numPr>
              <w:spacing w:after="60" w:line="240" w:lineRule="auto"/>
              <w:ind w:left="170"/>
              <w:contextualSpacing w:val="0"/>
              <w:jc w:val="left"/>
              <w:rPr>
                <w:rFonts w:cs="Arial"/>
                <w:szCs w:val="20"/>
              </w:rPr>
            </w:pPr>
          </w:p>
          <w:p w14:paraId="0BB00289" w14:textId="77777777" w:rsidR="00D03415" w:rsidRPr="00D03415" w:rsidRDefault="00D03415" w:rsidP="00D03415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360CEC48" w14:textId="505282E9" w:rsidR="00F57570" w:rsidRPr="00E36D4A" w:rsidRDefault="00F57570" w:rsidP="00F57570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08751724" w14:textId="0F05622C" w:rsidR="00F57570" w:rsidRPr="00E36D4A" w:rsidRDefault="00F57570" w:rsidP="00F57570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01B688C7" w14:textId="3077A29D" w:rsidR="00F2504E" w:rsidRPr="00E36D4A" w:rsidRDefault="00F2504E" w:rsidP="004F153E">
            <w:pPr>
              <w:spacing w:after="0" w:line="240" w:lineRule="auto"/>
              <w:mirrorIndents/>
              <w:rPr>
                <w:rFonts w:cs="Arial"/>
                <w:i/>
              </w:rPr>
            </w:pPr>
          </w:p>
        </w:tc>
        <w:tc>
          <w:tcPr>
            <w:tcW w:w="1530" w:type="pct"/>
            <w:tcBorders>
              <w:bottom w:val="single" w:sz="4" w:space="0" w:color="auto"/>
            </w:tcBorders>
            <w:shd w:val="clear" w:color="auto" w:fill="auto"/>
          </w:tcPr>
          <w:p w14:paraId="49E90C81" w14:textId="0C919CFD" w:rsidR="00D03415" w:rsidRDefault="00D03415" w:rsidP="00D03415">
            <w:pPr>
              <w:pStyle w:val="Listenabsatz"/>
              <w:numPr>
                <w:ilvl w:val="0"/>
                <w:numId w:val="0"/>
              </w:numPr>
              <w:spacing w:before="120" w:after="60" w:line="240" w:lineRule="auto"/>
              <w:ind w:left="170"/>
              <w:contextualSpacing w:val="0"/>
              <w:jc w:val="left"/>
              <w:rPr>
                <w:rFonts w:cs="Arial"/>
              </w:rPr>
            </w:pPr>
          </w:p>
          <w:p w14:paraId="0892C899" w14:textId="77777777" w:rsidR="00A27726" w:rsidRPr="00A27726" w:rsidRDefault="00A27726" w:rsidP="00D03415">
            <w:pPr>
              <w:pStyle w:val="Listenabsatz"/>
              <w:numPr>
                <w:ilvl w:val="0"/>
                <w:numId w:val="0"/>
              </w:numPr>
              <w:spacing w:before="120" w:after="60" w:line="240" w:lineRule="auto"/>
              <w:ind w:left="170"/>
              <w:contextualSpacing w:val="0"/>
              <w:jc w:val="left"/>
              <w:rPr>
                <w:rFonts w:cs="Arial"/>
                <w:sz w:val="10"/>
              </w:rPr>
            </w:pPr>
          </w:p>
          <w:p w14:paraId="6D3CD613" w14:textId="51ED98AD" w:rsidR="00280236" w:rsidRDefault="00280236" w:rsidP="00280236">
            <w:pPr>
              <w:pStyle w:val="Listenabsatz"/>
              <w:numPr>
                <w:ilvl w:val="0"/>
                <w:numId w:val="0"/>
              </w:numPr>
              <w:spacing w:after="60" w:line="240" w:lineRule="auto"/>
              <w:ind w:left="170"/>
              <w:contextualSpacing w:val="0"/>
              <w:jc w:val="left"/>
              <w:rPr>
                <w:rFonts w:cs="Arial"/>
              </w:rPr>
            </w:pPr>
          </w:p>
          <w:p w14:paraId="230715C4" w14:textId="61DACFC6" w:rsidR="00280236" w:rsidRDefault="00280236" w:rsidP="00280236">
            <w:pPr>
              <w:pStyle w:val="Listenabsatz"/>
              <w:numPr>
                <w:ilvl w:val="0"/>
                <w:numId w:val="0"/>
              </w:numPr>
              <w:spacing w:after="60" w:line="240" w:lineRule="auto"/>
              <w:ind w:left="170"/>
              <w:contextualSpacing w:val="0"/>
              <w:jc w:val="left"/>
              <w:rPr>
                <w:rFonts w:cs="Arial"/>
              </w:rPr>
            </w:pPr>
          </w:p>
          <w:p w14:paraId="2261DB63" w14:textId="77777777" w:rsidR="00280236" w:rsidRPr="00280236" w:rsidRDefault="00280236" w:rsidP="00280236">
            <w:pPr>
              <w:pStyle w:val="Listenabsatz"/>
              <w:numPr>
                <w:ilvl w:val="0"/>
                <w:numId w:val="0"/>
              </w:numPr>
              <w:spacing w:after="60" w:line="240" w:lineRule="auto"/>
              <w:ind w:left="170"/>
              <w:contextualSpacing w:val="0"/>
              <w:jc w:val="left"/>
              <w:rPr>
                <w:rFonts w:cs="Arial"/>
                <w:sz w:val="18"/>
              </w:rPr>
            </w:pPr>
          </w:p>
          <w:p w14:paraId="31062A0A" w14:textId="4B340CCB" w:rsidR="00F2504E" w:rsidRPr="00202431" w:rsidRDefault="00F2504E" w:rsidP="001B293D">
            <w:pPr>
              <w:spacing w:after="60" w:line="240" w:lineRule="auto"/>
              <w:rPr>
                <w:rFonts w:cs="Arial"/>
              </w:rPr>
            </w:pPr>
            <w:r w:rsidRPr="00202431">
              <w:rPr>
                <w:rFonts w:cs="Arial"/>
              </w:rPr>
              <w:t>den Sprachgebrauch im Bereich der Sexualität kritisch reflekt</w:t>
            </w:r>
            <w:r w:rsidR="00280236" w:rsidRPr="00202431">
              <w:rPr>
                <w:rFonts w:cs="Arial"/>
              </w:rPr>
              <w:softHyphen/>
            </w:r>
            <w:r w:rsidRPr="00202431">
              <w:rPr>
                <w:rFonts w:cs="Arial"/>
              </w:rPr>
              <w:t>ie</w:t>
            </w:r>
            <w:r w:rsidR="00280236" w:rsidRPr="00202431">
              <w:rPr>
                <w:rFonts w:cs="Arial"/>
              </w:rPr>
              <w:softHyphen/>
            </w:r>
            <w:r w:rsidRPr="00202431">
              <w:rPr>
                <w:rFonts w:cs="Arial"/>
              </w:rPr>
              <w:t xml:space="preserve">ren und sich </w:t>
            </w:r>
            <w:proofErr w:type="spellStart"/>
            <w:r w:rsidRPr="00202431">
              <w:rPr>
                <w:rFonts w:cs="Arial"/>
              </w:rPr>
              <w:t>situations</w:t>
            </w:r>
            <w:r w:rsidRPr="00202431">
              <w:rPr>
                <w:rFonts w:cs="Arial"/>
              </w:rPr>
              <w:softHyphen/>
              <w:t>ange</w:t>
            </w:r>
            <w:r w:rsidRPr="00202431">
              <w:rPr>
                <w:rFonts w:cs="Arial"/>
              </w:rPr>
              <w:softHyphen/>
            </w:r>
            <w:r w:rsidR="00202431">
              <w:rPr>
                <w:rFonts w:cs="Arial"/>
              </w:rPr>
              <w:t>mes</w:t>
            </w:r>
            <w:r w:rsidR="00202431">
              <w:rPr>
                <w:rFonts w:cs="Arial"/>
              </w:rPr>
              <w:softHyphen/>
              <w:t>sen</w:t>
            </w:r>
            <w:proofErr w:type="spellEnd"/>
            <w:r w:rsidR="00202431">
              <w:rPr>
                <w:rFonts w:cs="Arial"/>
              </w:rPr>
              <w:t>, respekt</w:t>
            </w:r>
            <w:r w:rsidR="00202431">
              <w:rPr>
                <w:rFonts w:cs="Arial"/>
              </w:rPr>
              <w:softHyphen/>
              <w:t xml:space="preserve">voll und </w:t>
            </w:r>
            <w:proofErr w:type="spellStart"/>
            <w:r w:rsidR="00202431">
              <w:rPr>
                <w:rFonts w:cs="Arial"/>
              </w:rPr>
              <w:t>geschlechter</w:t>
            </w:r>
            <w:r w:rsidR="00280236" w:rsidRPr="00202431">
              <w:rPr>
                <w:rFonts w:cs="Arial"/>
              </w:rPr>
              <w:softHyphen/>
            </w:r>
            <w:r w:rsidRPr="00202431">
              <w:rPr>
                <w:rFonts w:cs="Arial"/>
              </w:rPr>
              <w:t>sensibel</w:t>
            </w:r>
            <w:proofErr w:type="spellEnd"/>
            <w:r w:rsidRPr="00202431">
              <w:rPr>
                <w:rFonts w:cs="Arial"/>
              </w:rPr>
              <w:t xml:space="preserve"> ausdrücken (B2, B3)</w:t>
            </w:r>
            <w:r w:rsidR="004F153E" w:rsidRPr="00202431">
              <w:rPr>
                <w:rFonts w:cs="Arial"/>
              </w:rPr>
              <w:t>.</w:t>
            </w:r>
          </w:p>
          <w:p w14:paraId="6CD81701" w14:textId="77777777" w:rsidR="00280236" w:rsidRPr="00202431" w:rsidRDefault="00280236" w:rsidP="001B293D">
            <w:pPr>
              <w:pStyle w:val="Listenabsatz"/>
              <w:numPr>
                <w:ilvl w:val="0"/>
                <w:numId w:val="0"/>
              </w:numPr>
              <w:spacing w:after="60" w:line="240" w:lineRule="auto"/>
              <w:ind w:left="170"/>
              <w:contextualSpacing w:val="0"/>
              <w:jc w:val="left"/>
              <w:rPr>
                <w:rFonts w:cs="Arial"/>
              </w:rPr>
            </w:pPr>
          </w:p>
          <w:p w14:paraId="0749EAD9" w14:textId="77777777" w:rsidR="00280236" w:rsidRPr="00202431" w:rsidRDefault="00280236" w:rsidP="001B293D">
            <w:pPr>
              <w:pStyle w:val="Listenabsatz"/>
              <w:numPr>
                <w:ilvl w:val="0"/>
                <w:numId w:val="0"/>
              </w:numPr>
              <w:spacing w:after="60" w:line="240" w:lineRule="auto"/>
              <w:ind w:left="170"/>
              <w:contextualSpacing w:val="0"/>
              <w:jc w:val="left"/>
              <w:rPr>
                <w:rFonts w:cs="Arial"/>
              </w:rPr>
            </w:pPr>
          </w:p>
          <w:p w14:paraId="39C3330A" w14:textId="1ED85CB6" w:rsidR="00280236" w:rsidRPr="001B293D" w:rsidRDefault="00280236" w:rsidP="001B293D">
            <w:pPr>
              <w:spacing w:before="120" w:after="60" w:line="240" w:lineRule="auto"/>
              <w:rPr>
                <w:rFonts w:cs="Arial"/>
              </w:rPr>
            </w:pPr>
            <w:r w:rsidRPr="00202431">
              <w:rPr>
                <w:rFonts w:cs="Arial"/>
              </w:rPr>
              <w:t xml:space="preserve">körperliche und </w:t>
            </w:r>
            <w:r w:rsidR="00447028">
              <w:rPr>
                <w:rFonts w:cs="Arial"/>
              </w:rPr>
              <w:t>psych</w:t>
            </w:r>
            <w:r w:rsidRPr="00202431">
              <w:rPr>
                <w:rFonts w:cs="Arial"/>
              </w:rPr>
              <w:t>ische Verän</w:t>
            </w:r>
            <w:r w:rsidRPr="00202431">
              <w:rPr>
                <w:rFonts w:cs="Arial"/>
              </w:rPr>
              <w:softHyphen/>
              <w:t>derungen in der Pubertät erläutern (UF1, UF2).</w:t>
            </w:r>
          </w:p>
          <w:p w14:paraId="52A9EBE6" w14:textId="38F76E29" w:rsidR="00280236" w:rsidRPr="00283C85" w:rsidRDefault="00280236" w:rsidP="00280236">
            <w:pPr>
              <w:pStyle w:val="Listenabsatz"/>
              <w:numPr>
                <w:ilvl w:val="0"/>
                <w:numId w:val="0"/>
              </w:numPr>
              <w:spacing w:after="60" w:line="240" w:lineRule="auto"/>
              <w:ind w:left="170"/>
              <w:contextualSpacing w:val="0"/>
              <w:jc w:val="left"/>
              <w:rPr>
                <w:rFonts w:cs="Arial"/>
              </w:rPr>
            </w:pPr>
          </w:p>
        </w:tc>
        <w:tc>
          <w:tcPr>
            <w:tcW w:w="2286" w:type="pct"/>
            <w:tcBorders>
              <w:bottom w:val="single" w:sz="4" w:space="0" w:color="auto"/>
            </w:tcBorders>
            <w:shd w:val="clear" w:color="auto" w:fill="auto"/>
          </w:tcPr>
          <w:p w14:paraId="4E20F854" w14:textId="52FA87F4" w:rsidR="00F2504E" w:rsidRPr="007B105A" w:rsidRDefault="00955E10" w:rsidP="006F5E8B">
            <w:pPr>
              <w:spacing w:before="120" w:after="0" w:line="240" w:lineRule="auto"/>
              <w:ind w:left="170" w:hanging="170"/>
              <w:rPr>
                <w:rFonts w:cs="Arial"/>
              </w:rPr>
            </w:pPr>
            <w:r w:rsidRPr="007B105A">
              <w:rPr>
                <w:rFonts w:cs="Arial"/>
              </w:rPr>
              <w:t>Problematisierung</w:t>
            </w:r>
            <w:r w:rsidR="00F2504E" w:rsidRPr="007B105A">
              <w:rPr>
                <w:rFonts w:cs="Arial"/>
              </w:rPr>
              <w:t>:</w:t>
            </w:r>
          </w:p>
          <w:p w14:paraId="6EF188E8" w14:textId="77777777" w:rsidR="00955E10" w:rsidRDefault="00C0318D" w:rsidP="006F5E8B">
            <w:pPr>
              <w:spacing w:after="6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Einstieg </w:t>
            </w:r>
            <w:r w:rsidR="00955E10">
              <w:rPr>
                <w:rFonts w:eastAsia="Times New Roman" w:cs="Arial"/>
                <w:lang w:eastAsia="de-DE"/>
              </w:rPr>
              <w:t xml:space="preserve">z. B. </w:t>
            </w:r>
            <w:r>
              <w:rPr>
                <w:rFonts w:eastAsia="Times New Roman" w:cs="Arial"/>
                <w:lang w:eastAsia="de-DE"/>
              </w:rPr>
              <w:t xml:space="preserve">durch </w:t>
            </w:r>
            <w:r w:rsidR="00F2504E" w:rsidRPr="00E36D4A">
              <w:rPr>
                <w:rFonts w:eastAsia="Times New Roman" w:cs="Arial"/>
                <w:lang w:eastAsia="de-DE"/>
              </w:rPr>
              <w:t>Fragensammeln mittels Fragenbox am Anfang (und auch zwischen</w:t>
            </w:r>
            <w:r w:rsidR="000766B6" w:rsidRPr="00E36D4A">
              <w:rPr>
                <w:rFonts w:eastAsia="Times New Roman" w:cs="Arial"/>
                <w:lang w:eastAsia="de-DE"/>
              </w:rPr>
              <w:softHyphen/>
            </w:r>
            <w:r w:rsidR="00F2504E" w:rsidRPr="00E36D4A">
              <w:rPr>
                <w:rFonts w:eastAsia="Times New Roman" w:cs="Arial"/>
                <w:lang w:eastAsia="de-DE"/>
              </w:rPr>
              <w:t xml:space="preserve">durch) </w:t>
            </w:r>
          </w:p>
          <w:p w14:paraId="0ED79A10" w14:textId="287C44B1" w:rsidR="007B105A" w:rsidRPr="001A26B3" w:rsidRDefault="00955E10" w:rsidP="001A26B3">
            <w:pPr>
              <w:pStyle w:val="Listenabsatz"/>
              <w:numPr>
                <w:ilvl w:val="0"/>
                <w:numId w:val="33"/>
              </w:numPr>
              <w:spacing w:before="60" w:after="0" w:line="240" w:lineRule="auto"/>
              <w:ind w:left="172" w:hanging="172"/>
              <w:rPr>
                <w:rFonts w:cs="Arial"/>
              </w:rPr>
            </w:pPr>
            <w:r w:rsidRPr="001A26B3">
              <w:rPr>
                <w:rFonts w:cs="Arial"/>
              </w:rPr>
              <w:t xml:space="preserve">Benutzung als </w:t>
            </w:r>
            <w:r w:rsidR="000766B6" w:rsidRPr="001A26B3">
              <w:rPr>
                <w:rFonts w:cs="Arial"/>
              </w:rPr>
              <w:t xml:space="preserve">Roter Faden </w:t>
            </w:r>
            <w:r w:rsidRPr="001A26B3">
              <w:rPr>
                <w:rFonts w:cs="Arial"/>
              </w:rPr>
              <w:t>(</w:t>
            </w:r>
            <w:proofErr w:type="spellStart"/>
            <w:r w:rsidRPr="001A26B3">
              <w:rPr>
                <w:rFonts w:cs="Arial"/>
              </w:rPr>
              <w:t>Advance</w:t>
            </w:r>
            <w:proofErr w:type="spellEnd"/>
            <w:r w:rsidRPr="001A26B3">
              <w:rPr>
                <w:rFonts w:cs="Arial"/>
              </w:rPr>
              <w:t xml:space="preserve"> </w:t>
            </w:r>
            <w:proofErr w:type="spellStart"/>
            <w:r w:rsidRPr="001A26B3">
              <w:rPr>
                <w:rFonts w:cs="Arial"/>
              </w:rPr>
              <w:t>organizer</w:t>
            </w:r>
            <w:proofErr w:type="spellEnd"/>
            <w:r w:rsidRPr="001A26B3">
              <w:rPr>
                <w:rFonts w:cs="Arial"/>
              </w:rPr>
              <w:t xml:space="preserve">) </w:t>
            </w:r>
            <w:r w:rsidR="000766B6" w:rsidRPr="001A26B3">
              <w:rPr>
                <w:rFonts w:cs="Arial"/>
              </w:rPr>
              <w:t xml:space="preserve">oder </w:t>
            </w:r>
          </w:p>
          <w:p w14:paraId="5B2DB63B" w14:textId="109426B9" w:rsidR="00F2504E" w:rsidRPr="001A26B3" w:rsidRDefault="007B105A" w:rsidP="001A26B3">
            <w:pPr>
              <w:pStyle w:val="Listenabsatz"/>
              <w:numPr>
                <w:ilvl w:val="0"/>
                <w:numId w:val="33"/>
              </w:numPr>
              <w:spacing w:before="60" w:after="0" w:line="240" w:lineRule="auto"/>
              <w:ind w:left="172" w:hanging="172"/>
              <w:rPr>
                <w:rFonts w:cs="Arial"/>
              </w:rPr>
            </w:pPr>
            <w:r w:rsidRPr="001A26B3">
              <w:rPr>
                <w:rFonts w:cs="Arial"/>
              </w:rPr>
              <w:t xml:space="preserve">Einflechten </w:t>
            </w:r>
            <w:r w:rsidR="000766B6" w:rsidRPr="001A26B3">
              <w:rPr>
                <w:rFonts w:cs="Arial"/>
              </w:rPr>
              <w:t>i</w:t>
            </w:r>
            <w:r w:rsidR="00F2504E" w:rsidRPr="001A26B3">
              <w:rPr>
                <w:rFonts w:cs="Arial"/>
              </w:rPr>
              <w:t>m Unterrichtsv</w:t>
            </w:r>
            <w:r w:rsidR="000766B6" w:rsidRPr="001A26B3">
              <w:rPr>
                <w:rFonts w:cs="Arial"/>
              </w:rPr>
              <w:t>erlauf</w:t>
            </w:r>
            <w:r w:rsidR="00DA20B4" w:rsidRPr="001A26B3">
              <w:rPr>
                <w:rFonts w:cs="Arial"/>
              </w:rPr>
              <w:t xml:space="preserve"> </w:t>
            </w:r>
          </w:p>
          <w:p w14:paraId="4316DCC4" w14:textId="50CA1A16" w:rsidR="007B105A" w:rsidRDefault="006F5E8B" w:rsidP="00B2652F">
            <w:pPr>
              <w:spacing w:before="120" w:after="0" w:line="240" w:lineRule="auto"/>
              <w:rPr>
                <w:rFonts w:eastAsia="Times New Roman" w:cs="Arial"/>
                <w:lang w:eastAsia="de-DE"/>
              </w:rPr>
            </w:pPr>
            <w:r w:rsidRPr="00E36D4A">
              <w:rPr>
                <w:rFonts w:eastAsia="Times New Roman" w:cs="Arial"/>
                <w:lang w:eastAsia="de-DE"/>
              </w:rPr>
              <w:t>Klärung</w:t>
            </w:r>
            <w:r w:rsidR="007B105A">
              <w:rPr>
                <w:rFonts w:eastAsia="Times New Roman" w:cs="Arial"/>
                <w:lang w:eastAsia="de-DE"/>
              </w:rPr>
              <w:t>en vorab:</w:t>
            </w:r>
          </w:p>
          <w:p w14:paraId="27018F8A" w14:textId="3A2F3B5D" w:rsidR="007B105A" w:rsidRPr="001A26B3" w:rsidRDefault="006F5E8B" w:rsidP="00B2652F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172" w:hanging="172"/>
              <w:jc w:val="left"/>
              <w:rPr>
                <w:rFonts w:cs="Arial"/>
              </w:rPr>
            </w:pPr>
            <w:r w:rsidRPr="001A26B3">
              <w:rPr>
                <w:rFonts w:cs="Arial"/>
              </w:rPr>
              <w:t>Sprachgebrauch</w:t>
            </w:r>
            <w:r w:rsidR="00656922" w:rsidRPr="001A26B3">
              <w:rPr>
                <w:rFonts w:cs="Arial"/>
              </w:rPr>
              <w:t xml:space="preserve"> thematisieren</w:t>
            </w:r>
            <w:r w:rsidR="007B105A" w:rsidRPr="001A26B3">
              <w:rPr>
                <w:rFonts w:cs="Arial"/>
              </w:rPr>
              <w:t>, z. B. durch Gegenüberstellung und Bewertung verschiedener Begriffe für primäre Geschlechtsorgane</w:t>
            </w:r>
          </w:p>
          <w:p w14:paraId="15136840" w14:textId="7F742E24" w:rsidR="006F5E8B" w:rsidRPr="001A26B3" w:rsidRDefault="00EE4969" w:rsidP="001A26B3">
            <w:pPr>
              <w:pStyle w:val="Listenabsatz"/>
              <w:numPr>
                <w:ilvl w:val="0"/>
                <w:numId w:val="33"/>
              </w:numPr>
              <w:spacing w:before="60" w:after="0" w:line="240" w:lineRule="auto"/>
              <w:ind w:left="172" w:hanging="172"/>
              <w:jc w:val="left"/>
              <w:rPr>
                <w:rFonts w:cs="Arial"/>
              </w:rPr>
            </w:pPr>
            <w:r w:rsidRPr="001A26B3">
              <w:rPr>
                <w:rFonts w:cs="Arial"/>
              </w:rPr>
              <w:t>Scham</w:t>
            </w:r>
            <w:r w:rsidR="007B105A" w:rsidRPr="001A26B3">
              <w:rPr>
                <w:rFonts w:cs="Arial"/>
              </w:rPr>
              <w:t xml:space="preserve"> und </w:t>
            </w:r>
            <w:r w:rsidR="000766B6" w:rsidRPr="001A26B3">
              <w:rPr>
                <w:rFonts w:cs="Arial"/>
              </w:rPr>
              <w:t>„</w:t>
            </w:r>
            <w:proofErr w:type="spellStart"/>
            <w:r w:rsidR="006F5E8B" w:rsidRPr="001A26B3">
              <w:rPr>
                <w:rFonts w:cs="Arial"/>
              </w:rPr>
              <w:t>Giggeln</w:t>
            </w:r>
            <w:proofErr w:type="spellEnd"/>
            <w:r w:rsidR="000766B6" w:rsidRPr="001A26B3">
              <w:rPr>
                <w:rFonts w:cs="Arial"/>
              </w:rPr>
              <w:t>“</w:t>
            </w:r>
            <w:r w:rsidR="007B105A" w:rsidRPr="001A26B3">
              <w:rPr>
                <w:rFonts w:cs="Arial"/>
              </w:rPr>
              <w:t xml:space="preserve"> </w:t>
            </w:r>
            <w:r w:rsidR="00423ABB" w:rsidRPr="001A26B3">
              <w:rPr>
                <w:rFonts w:cs="Arial"/>
              </w:rPr>
              <w:t>sind natürlich, sollen aber das Lernen nicht behindern</w:t>
            </w:r>
          </w:p>
          <w:p w14:paraId="66E046B4" w14:textId="151E7D55" w:rsidR="007B105A" w:rsidRPr="00E36D4A" w:rsidRDefault="007B105A" w:rsidP="00B2652F">
            <w:pPr>
              <w:spacing w:before="120" w:after="60" w:line="240" w:lineRule="auto"/>
              <w:rPr>
                <w:rFonts w:eastAsia="Times New Roman" w:cs="Arial"/>
                <w:lang w:eastAsia="de-DE"/>
              </w:rPr>
            </w:pPr>
            <w:r w:rsidRPr="00E36D4A">
              <w:rPr>
                <w:rFonts w:eastAsia="Times New Roman" w:cs="Arial"/>
                <w:color w:val="0070C0"/>
                <w:lang w:eastAsia="de-DE"/>
              </w:rPr>
              <w:t>Aufregende Jahre: Jules Tagebuch (</w:t>
            </w:r>
            <w:proofErr w:type="spellStart"/>
            <w:r w:rsidRPr="00E36D4A">
              <w:rPr>
                <w:rFonts w:eastAsia="Times New Roman" w:cs="Arial"/>
                <w:color w:val="0070C0"/>
                <w:lang w:eastAsia="de-DE"/>
              </w:rPr>
              <w:t>BzgA</w:t>
            </w:r>
            <w:proofErr w:type="spellEnd"/>
            <w:r w:rsidRPr="00E36D4A">
              <w:rPr>
                <w:rFonts w:eastAsia="Times New Roman" w:cs="Arial"/>
                <w:color w:val="0070C0"/>
                <w:lang w:eastAsia="de-DE"/>
              </w:rPr>
              <w:t>) [1]</w:t>
            </w:r>
            <w:r>
              <w:rPr>
                <w:rFonts w:eastAsia="Times New Roman" w:cs="Arial"/>
                <w:color w:val="0070C0"/>
                <w:lang w:eastAsia="de-DE"/>
              </w:rPr>
              <w:t xml:space="preserve"> kann den Unterricht sinnvoll ergänzen</w:t>
            </w:r>
            <w:r w:rsidR="00E14992">
              <w:rPr>
                <w:rFonts w:eastAsia="Times New Roman" w:cs="Arial"/>
                <w:color w:val="0070C0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70C0"/>
                <w:lang w:eastAsia="de-DE"/>
              </w:rPr>
              <w:t>(</w:t>
            </w:r>
            <w:r w:rsidR="00E14992">
              <w:rPr>
                <w:rFonts w:eastAsia="Times New Roman" w:cs="Arial"/>
                <w:color w:val="0070C0"/>
                <w:lang w:eastAsia="de-DE"/>
              </w:rPr>
              <w:t>auch zum Selberlesen</w:t>
            </w:r>
            <w:r>
              <w:rPr>
                <w:rFonts w:eastAsia="Times New Roman" w:cs="Arial"/>
                <w:color w:val="0070C0"/>
                <w:lang w:eastAsia="de-DE"/>
              </w:rPr>
              <w:t>)</w:t>
            </w:r>
            <w:r w:rsidR="00E14992">
              <w:rPr>
                <w:rFonts w:eastAsia="Times New Roman" w:cs="Arial"/>
                <w:color w:val="0070C0"/>
                <w:lang w:eastAsia="de-DE"/>
              </w:rPr>
              <w:t>.</w:t>
            </w:r>
          </w:p>
          <w:p w14:paraId="5EB251FB" w14:textId="77777777" w:rsidR="00C0318D" w:rsidRDefault="00301A16" w:rsidP="00B2652F">
            <w:pPr>
              <w:spacing w:before="120"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Veränderungen in der Pubertät</w:t>
            </w:r>
          </w:p>
          <w:p w14:paraId="26CA6113" w14:textId="5FCCD31C" w:rsidR="003F1378" w:rsidRDefault="007B105A" w:rsidP="00B2652F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172" w:hanging="172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Geschlechtsmerkmale</w:t>
            </w:r>
          </w:p>
          <w:p w14:paraId="191D3ADF" w14:textId="4B21683B" w:rsidR="00EC6AE4" w:rsidRPr="00B2652F" w:rsidRDefault="00EC6AE4" w:rsidP="00EC1F53">
            <w:pPr>
              <w:pStyle w:val="Listenabsatz"/>
              <w:numPr>
                <w:ilvl w:val="0"/>
                <w:numId w:val="33"/>
              </w:numPr>
              <w:spacing w:before="60" w:after="0" w:line="240" w:lineRule="auto"/>
              <w:ind w:left="172" w:hanging="172"/>
              <w:jc w:val="left"/>
              <w:rPr>
                <w:rFonts w:eastAsia="Times New Roman" w:cs="Arial"/>
                <w:lang w:eastAsia="de-DE"/>
              </w:rPr>
            </w:pPr>
            <w:r w:rsidRPr="00B2652F">
              <w:rPr>
                <w:rFonts w:eastAsia="Times New Roman" w:cs="Arial"/>
                <w:lang w:eastAsia="de-DE"/>
              </w:rPr>
              <w:t xml:space="preserve">hormonelle Steuerung nur stark vereinfacht </w:t>
            </w:r>
            <w:r w:rsidR="00EC1F53" w:rsidRPr="00B2652F">
              <w:rPr>
                <w:rFonts w:eastAsia="Times New Roman" w:cs="Arial"/>
                <w:lang w:eastAsia="de-DE"/>
              </w:rPr>
              <w:t xml:space="preserve">ansprechen </w:t>
            </w:r>
            <w:r w:rsidRPr="00B2652F">
              <w:rPr>
                <w:rFonts w:eastAsia="Times New Roman" w:cs="Arial"/>
                <w:lang w:eastAsia="de-DE"/>
              </w:rPr>
              <w:t xml:space="preserve">(z. B. </w:t>
            </w:r>
            <w:r w:rsidR="00EC1F53" w:rsidRPr="00B2652F">
              <w:rPr>
                <w:rFonts w:eastAsia="Times New Roman" w:cs="Arial"/>
                <w:lang w:eastAsia="de-DE"/>
              </w:rPr>
              <w:t xml:space="preserve">Hormone sind </w:t>
            </w:r>
            <w:r w:rsidRPr="00B2652F">
              <w:rPr>
                <w:rFonts w:eastAsia="Times New Roman" w:cs="Arial"/>
                <w:lang w:eastAsia="de-DE"/>
              </w:rPr>
              <w:t xml:space="preserve">Botenstoffe im Blut, die die Veränderungen </w:t>
            </w:r>
            <w:r w:rsidR="00EC1F53" w:rsidRPr="00B2652F">
              <w:rPr>
                <w:rFonts w:eastAsia="Times New Roman" w:cs="Arial"/>
                <w:lang w:eastAsia="de-DE"/>
              </w:rPr>
              <w:t xml:space="preserve">an </w:t>
            </w:r>
            <w:r w:rsidRPr="00B2652F">
              <w:rPr>
                <w:rFonts w:eastAsia="Times New Roman" w:cs="Arial"/>
                <w:lang w:eastAsia="de-DE"/>
              </w:rPr>
              <w:t xml:space="preserve">bestimmten </w:t>
            </w:r>
            <w:r w:rsidR="00EC1F53" w:rsidRPr="00B2652F">
              <w:rPr>
                <w:rFonts w:eastAsia="Times New Roman" w:cs="Arial"/>
                <w:lang w:eastAsia="de-DE"/>
              </w:rPr>
              <w:t xml:space="preserve">Stellen des Körpers </w:t>
            </w:r>
            <w:r w:rsidRPr="00B2652F">
              <w:rPr>
                <w:rFonts w:eastAsia="Times New Roman" w:cs="Arial"/>
                <w:lang w:eastAsia="de-DE"/>
              </w:rPr>
              <w:t>auslösen)</w:t>
            </w:r>
          </w:p>
          <w:p w14:paraId="179A4F7D" w14:textId="2A59DA72" w:rsidR="00C0318D" w:rsidRPr="003F1378" w:rsidRDefault="00DA20B4" w:rsidP="002D48A3">
            <w:pPr>
              <w:pStyle w:val="Listenabsatz"/>
              <w:numPr>
                <w:ilvl w:val="0"/>
                <w:numId w:val="33"/>
              </w:numPr>
              <w:spacing w:before="60" w:after="0" w:line="240" w:lineRule="auto"/>
              <w:ind w:left="172" w:hanging="172"/>
              <w:rPr>
                <w:rFonts w:eastAsia="Times New Roman" w:cs="Arial"/>
                <w:lang w:eastAsia="de-DE"/>
              </w:rPr>
            </w:pPr>
            <w:r w:rsidRPr="00DA20B4">
              <w:rPr>
                <w:rFonts w:cs="Arial"/>
              </w:rPr>
              <w:t xml:space="preserve">Augenmerk auf Variabilität bei der </w:t>
            </w:r>
            <w:proofErr w:type="spellStart"/>
            <w:r w:rsidRPr="00DA20B4">
              <w:rPr>
                <w:rFonts w:cs="Arial"/>
              </w:rPr>
              <w:t>Merk</w:t>
            </w:r>
            <w:r w:rsidRPr="00DA20B4">
              <w:rPr>
                <w:rFonts w:cs="Arial"/>
              </w:rPr>
              <w:softHyphen/>
              <w:t>malsausprägung</w:t>
            </w:r>
            <w:proofErr w:type="spellEnd"/>
            <w:r w:rsidRPr="00DA20B4">
              <w:rPr>
                <w:rFonts w:cs="Arial"/>
              </w:rPr>
              <w:t xml:space="preserve"> in der Puber</w:t>
            </w:r>
            <w:r w:rsidRPr="00DA20B4">
              <w:rPr>
                <w:rFonts w:cs="Arial"/>
              </w:rPr>
              <w:softHyphen/>
              <w:t>tät (z. B. zeitlich unter</w:t>
            </w:r>
            <w:r w:rsidRPr="00DA20B4">
              <w:rPr>
                <w:rFonts w:cs="Arial"/>
              </w:rPr>
              <w:softHyphen/>
              <w:t>schied</w:t>
            </w:r>
            <w:r w:rsidRPr="00DA20B4">
              <w:rPr>
                <w:rFonts w:cs="Arial"/>
              </w:rPr>
              <w:softHyphen/>
              <w:t xml:space="preserve">liche Entwicklung). </w:t>
            </w:r>
          </w:p>
          <w:p w14:paraId="541E1D95" w14:textId="697F3D70" w:rsidR="003F1378" w:rsidRPr="00DA20B4" w:rsidRDefault="003F1378" w:rsidP="002D48A3">
            <w:pPr>
              <w:pStyle w:val="Listenabsatz"/>
              <w:numPr>
                <w:ilvl w:val="0"/>
                <w:numId w:val="33"/>
              </w:numPr>
              <w:spacing w:before="60" w:after="0" w:line="240" w:lineRule="auto"/>
              <w:ind w:left="172" w:hanging="172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Persönlichkeit, Ansprüche und </w:t>
            </w:r>
            <w:r w:rsidR="00CC1A7F">
              <w:rPr>
                <w:rFonts w:eastAsia="Times New Roman" w:cs="Arial"/>
                <w:lang w:eastAsia="de-DE"/>
              </w:rPr>
              <w:t xml:space="preserve">an </w:t>
            </w:r>
            <w:r w:rsidR="00EC6AE4">
              <w:rPr>
                <w:rFonts w:eastAsia="Times New Roman" w:cs="Arial"/>
                <w:lang w:eastAsia="de-DE"/>
              </w:rPr>
              <w:t>Heranwachsende</w:t>
            </w:r>
            <w:r w:rsidR="00CC1A7F">
              <w:rPr>
                <w:rFonts w:eastAsia="Times New Roman" w:cs="Arial"/>
                <w:lang w:eastAsia="de-DE"/>
              </w:rPr>
              <w:t xml:space="preserve"> gerichtete </w:t>
            </w:r>
            <w:r>
              <w:rPr>
                <w:rFonts w:eastAsia="Times New Roman" w:cs="Arial"/>
                <w:lang w:eastAsia="de-DE"/>
              </w:rPr>
              <w:t>Erwartungen</w:t>
            </w:r>
          </w:p>
          <w:p w14:paraId="74B5C5AE" w14:textId="77777777" w:rsidR="001F16DE" w:rsidRDefault="00A27726" w:rsidP="00B577F4">
            <w:pPr>
              <w:spacing w:before="120" w:after="0" w:line="240" w:lineRule="auto"/>
              <w:rPr>
                <w:rFonts w:eastAsia="Times New Roman" w:cs="Arial"/>
                <w:i/>
                <w:lang w:eastAsia="de-DE"/>
              </w:rPr>
            </w:pPr>
            <w:r w:rsidRPr="00BE1E3D">
              <w:rPr>
                <w:rFonts w:eastAsia="Times New Roman" w:cs="Arial"/>
                <w:i/>
                <w:lang w:eastAsia="de-DE"/>
              </w:rPr>
              <w:t>Kernaussage:</w:t>
            </w:r>
          </w:p>
          <w:p w14:paraId="21A5E92F" w14:textId="6DA1D8D3" w:rsidR="00B577F4" w:rsidRDefault="008962A6" w:rsidP="001F16DE">
            <w:pPr>
              <w:spacing w:after="0" w:line="240" w:lineRule="auto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>D</w:t>
            </w:r>
            <w:r w:rsidR="00A27726" w:rsidRPr="00BE1E3D">
              <w:rPr>
                <w:rFonts w:eastAsia="Times New Roman" w:cs="Arial"/>
                <w:i/>
                <w:lang w:eastAsia="de-DE"/>
              </w:rPr>
              <w:t xml:space="preserve">er Körper </w:t>
            </w:r>
            <w:r>
              <w:rPr>
                <w:rFonts w:eastAsia="Times New Roman" w:cs="Arial"/>
                <w:i/>
                <w:lang w:eastAsia="de-DE"/>
              </w:rPr>
              <w:t xml:space="preserve">wird beim Erwachsenwerden </w:t>
            </w:r>
            <w:r w:rsidR="00DA20B4">
              <w:rPr>
                <w:rFonts w:eastAsia="Times New Roman" w:cs="Arial"/>
                <w:i/>
                <w:lang w:eastAsia="de-DE"/>
              </w:rPr>
              <w:t xml:space="preserve">durch Hormone </w:t>
            </w:r>
            <w:r w:rsidR="00283C85" w:rsidRPr="00BE1E3D">
              <w:rPr>
                <w:rFonts w:eastAsia="Times New Roman" w:cs="Arial"/>
                <w:i/>
                <w:lang w:eastAsia="de-DE"/>
              </w:rPr>
              <w:t xml:space="preserve">so </w:t>
            </w:r>
            <w:r w:rsidR="00A27726" w:rsidRPr="00BE1E3D">
              <w:rPr>
                <w:rFonts w:eastAsia="Times New Roman" w:cs="Arial"/>
                <w:i/>
                <w:lang w:eastAsia="de-DE"/>
              </w:rPr>
              <w:t>umgebaut, dass ein Mensch</w:t>
            </w:r>
            <w:r w:rsidR="00283C85">
              <w:rPr>
                <w:rFonts w:eastAsia="Times New Roman" w:cs="Arial"/>
                <w:i/>
                <w:lang w:eastAsia="de-DE"/>
              </w:rPr>
              <w:t xml:space="preserve"> </w:t>
            </w:r>
            <w:r w:rsidR="00423ABB">
              <w:rPr>
                <w:rFonts w:eastAsia="Times New Roman" w:cs="Arial"/>
                <w:i/>
                <w:lang w:eastAsia="de-DE"/>
              </w:rPr>
              <w:t>fruchtbar und sexuell attraktiv</w:t>
            </w:r>
            <w:r w:rsidR="00DA20B4">
              <w:rPr>
                <w:rFonts w:eastAsia="Times New Roman" w:cs="Arial"/>
                <w:i/>
                <w:lang w:eastAsia="de-DE"/>
              </w:rPr>
              <w:t xml:space="preserve"> </w:t>
            </w:r>
            <w:r w:rsidR="00A27726" w:rsidRPr="00BE1E3D">
              <w:rPr>
                <w:rFonts w:eastAsia="Times New Roman" w:cs="Arial"/>
                <w:i/>
                <w:lang w:eastAsia="de-DE"/>
              </w:rPr>
              <w:t xml:space="preserve">wird. </w:t>
            </w:r>
            <w:r w:rsidR="00423ABB">
              <w:rPr>
                <w:rFonts w:eastAsia="Times New Roman" w:cs="Arial"/>
                <w:i/>
                <w:lang w:eastAsia="de-DE"/>
              </w:rPr>
              <w:t xml:space="preserve">Neben dem Körper verändern sich auch die Persönlichkeit, die Ansprüche und </w:t>
            </w:r>
            <w:r>
              <w:rPr>
                <w:rFonts w:eastAsia="Times New Roman" w:cs="Arial"/>
                <w:i/>
                <w:lang w:eastAsia="de-DE"/>
              </w:rPr>
              <w:t xml:space="preserve">die </w:t>
            </w:r>
            <w:r w:rsidR="00423ABB">
              <w:rPr>
                <w:rFonts w:eastAsia="Times New Roman" w:cs="Arial"/>
                <w:i/>
                <w:lang w:eastAsia="de-DE"/>
              </w:rPr>
              <w:t>an Jugendliche gestellten E</w:t>
            </w:r>
            <w:r w:rsidR="007B105A">
              <w:rPr>
                <w:rFonts w:eastAsia="Times New Roman" w:cs="Arial"/>
                <w:i/>
                <w:lang w:eastAsia="de-DE"/>
              </w:rPr>
              <w:t>rwartungen</w:t>
            </w:r>
            <w:r w:rsidR="00A27726" w:rsidRPr="00BE1E3D">
              <w:rPr>
                <w:rFonts w:eastAsia="Times New Roman" w:cs="Arial"/>
                <w:i/>
                <w:lang w:eastAsia="de-DE"/>
              </w:rPr>
              <w:t>.</w:t>
            </w:r>
          </w:p>
          <w:p w14:paraId="5BCBAA78" w14:textId="36685D0E" w:rsidR="008962A6" w:rsidRPr="00283C85" w:rsidRDefault="00D9506B" w:rsidP="0032710E">
            <w:pPr>
              <w:spacing w:after="0" w:line="240" w:lineRule="auto"/>
              <w:rPr>
                <w:rFonts w:eastAsia="Times New Roman" w:cs="Arial"/>
                <w:i/>
                <w:lang w:eastAsia="de-DE"/>
              </w:rPr>
            </w:pPr>
            <w:r>
              <w:rPr>
                <w:rFonts w:cs="Arial"/>
                <w:i/>
              </w:rPr>
              <w:t xml:space="preserve">Der </w:t>
            </w:r>
            <w:r w:rsidRPr="00E36D4A">
              <w:rPr>
                <w:rFonts w:eastAsia="Times New Roman" w:cs="Arial"/>
                <w:i/>
                <w:lang w:eastAsia="de-DE"/>
              </w:rPr>
              <w:t xml:space="preserve">Verlauf der </w:t>
            </w:r>
            <w:r w:rsidR="00302D76">
              <w:rPr>
                <w:rFonts w:eastAsia="Times New Roman" w:cs="Arial"/>
                <w:i/>
                <w:lang w:eastAsia="de-DE"/>
              </w:rPr>
              <w:t>Individuale</w:t>
            </w:r>
            <w:r w:rsidRPr="00E36D4A">
              <w:rPr>
                <w:rFonts w:eastAsia="Times New Roman" w:cs="Arial"/>
                <w:i/>
                <w:lang w:eastAsia="de-DE"/>
              </w:rPr>
              <w:t>ntwicklung ist in gewisse</w:t>
            </w:r>
            <w:r>
              <w:rPr>
                <w:rFonts w:eastAsia="Times New Roman" w:cs="Arial"/>
                <w:i/>
                <w:lang w:eastAsia="de-DE"/>
              </w:rPr>
              <w:t>m</w:t>
            </w:r>
            <w:r w:rsidRPr="00E36D4A">
              <w:rPr>
                <w:rFonts w:eastAsia="Times New Roman" w:cs="Arial"/>
                <w:i/>
                <w:lang w:eastAsia="de-DE"/>
              </w:rPr>
              <w:t xml:space="preserve"> </w:t>
            </w:r>
            <w:r>
              <w:rPr>
                <w:rFonts w:eastAsia="Times New Roman" w:cs="Arial"/>
                <w:i/>
                <w:lang w:eastAsia="de-DE"/>
              </w:rPr>
              <w:t>Rahmen fest</w:t>
            </w:r>
            <w:r w:rsidR="0032710E">
              <w:rPr>
                <w:rFonts w:eastAsia="Times New Roman" w:cs="Arial"/>
                <w:i/>
                <w:lang w:eastAsia="de-DE"/>
              </w:rPr>
              <w:softHyphen/>
            </w:r>
            <w:r>
              <w:rPr>
                <w:rFonts w:eastAsia="Times New Roman" w:cs="Arial"/>
                <w:i/>
                <w:lang w:eastAsia="de-DE"/>
              </w:rPr>
              <w:t xml:space="preserve">gelegt </w:t>
            </w:r>
            <w:r w:rsidRPr="00E36D4A">
              <w:rPr>
                <w:rFonts w:eastAsia="Times New Roman" w:cs="Arial"/>
                <w:i/>
                <w:lang w:eastAsia="de-DE"/>
              </w:rPr>
              <w:t>(Stelle im Körper, Zeitpunkt, Art und Weise</w:t>
            </w:r>
            <w:r>
              <w:rPr>
                <w:rFonts w:eastAsia="Times New Roman" w:cs="Arial"/>
                <w:i/>
                <w:lang w:eastAsia="de-DE"/>
              </w:rPr>
              <w:t>).</w:t>
            </w:r>
            <w:r w:rsidR="0032710E">
              <w:rPr>
                <w:rFonts w:eastAsia="Times New Roman" w:cs="Arial"/>
                <w:i/>
                <w:lang w:eastAsia="de-DE"/>
              </w:rPr>
              <w:t xml:space="preserve"> </w:t>
            </w:r>
            <w:r w:rsidR="001B293D">
              <w:rPr>
                <w:rFonts w:eastAsia="Times New Roman" w:cs="Arial"/>
                <w:i/>
                <w:lang w:eastAsia="de-DE"/>
              </w:rPr>
              <w:br/>
            </w:r>
            <w:r w:rsidR="00F748D8">
              <w:rPr>
                <w:rFonts w:eastAsia="Times New Roman" w:cs="Arial"/>
                <w:i/>
                <w:lang w:eastAsia="de-DE"/>
              </w:rPr>
              <w:t xml:space="preserve">Die </w:t>
            </w:r>
            <w:proofErr w:type="spellStart"/>
            <w:r w:rsidR="00F748D8">
              <w:rPr>
                <w:rFonts w:eastAsia="Times New Roman" w:cs="Arial"/>
                <w:i/>
                <w:lang w:eastAsia="de-DE"/>
              </w:rPr>
              <w:t>Merkmals</w:t>
            </w:r>
            <w:r w:rsidR="0032710E">
              <w:rPr>
                <w:rFonts w:eastAsia="Times New Roman" w:cs="Arial"/>
                <w:i/>
                <w:lang w:eastAsia="de-DE"/>
              </w:rPr>
              <w:softHyphen/>
            </w:r>
            <w:r w:rsidR="00F748D8">
              <w:rPr>
                <w:rFonts w:eastAsia="Times New Roman" w:cs="Arial"/>
                <w:i/>
                <w:lang w:eastAsia="de-DE"/>
              </w:rPr>
              <w:t>ausprägung</w:t>
            </w:r>
            <w:proofErr w:type="spellEnd"/>
            <w:r w:rsidR="00F748D8">
              <w:rPr>
                <w:rFonts w:eastAsia="Times New Roman" w:cs="Arial"/>
                <w:i/>
                <w:lang w:eastAsia="de-DE"/>
              </w:rPr>
              <w:t xml:space="preserve"> ist aber individuell unterschiedlich (z. B. Zeitpunkt).</w:t>
            </w:r>
          </w:p>
        </w:tc>
      </w:tr>
      <w:tr w:rsidR="00BE1E3D" w:rsidRPr="00E36D4A" w14:paraId="7E3FDCD0" w14:textId="77777777" w:rsidTr="001B293D">
        <w:trPr>
          <w:trHeight w:val="680"/>
        </w:trPr>
        <w:tc>
          <w:tcPr>
            <w:tcW w:w="11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294295" w14:textId="77777777" w:rsidR="00D465B7" w:rsidRPr="00E36D4A" w:rsidRDefault="00D465B7" w:rsidP="00D465B7">
            <w:pPr>
              <w:spacing w:before="120" w:after="240" w:line="240" w:lineRule="auto"/>
              <w:rPr>
                <w:rFonts w:eastAsia="Times New Roman" w:cs="Arial"/>
                <w:b/>
                <w:i/>
                <w:lang w:eastAsia="de-DE"/>
              </w:rPr>
            </w:pPr>
            <w:r w:rsidRPr="00E36D4A">
              <w:rPr>
                <w:rFonts w:eastAsia="Times New Roman" w:cs="Arial"/>
                <w:b/>
                <w:i/>
                <w:lang w:eastAsia="de-DE"/>
              </w:rPr>
              <w:lastRenderedPageBreak/>
              <w:t>Wozu dienen die Veränderungen?</w:t>
            </w:r>
          </w:p>
          <w:p w14:paraId="34A3C43D" w14:textId="28376D9D" w:rsidR="00BE1E3D" w:rsidRPr="00567B66" w:rsidRDefault="00BE1E3D" w:rsidP="00567B66">
            <w:pPr>
              <w:spacing w:before="120" w:after="60" w:line="240" w:lineRule="auto"/>
              <w:rPr>
                <w:rFonts w:cs="Arial"/>
                <w:szCs w:val="20"/>
              </w:rPr>
            </w:pPr>
            <w:r w:rsidRPr="00567B66">
              <w:rPr>
                <w:rFonts w:cs="Arial"/>
                <w:szCs w:val="20"/>
              </w:rPr>
              <w:t>Bau und Funktion der Geschlechts</w:t>
            </w:r>
            <w:r w:rsidRPr="00567B66">
              <w:rPr>
                <w:rFonts w:cs="Arial"/>
                <w:szCs w:val="20"/>
              </w:rPr>
              <w:softHyphen/>
              <w:t>organe</w:t>
            </w:r>
          </w:p>
        </w:tc>
        <w:tc>
          <w:tcPr>
            <w:tcW w:w="153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AC38E5" w14:textId="1D1A6489" w:rsidR="00BE1E3D" w:rsidRPr="001B293D" w:rsidRDefault="00283C85" w:rsidP="001B293D">
            <w:pPr>
              <w:spacing w:before="120" w:after="60" w:line="240" w:lineRule="auto"/>
              <w:rPr>
                <w:rFonts w:cs="Arial"/>
              </w:rPr>
            </w:pPr>
            <w:r w:rsidRPr="001B293D">
              <w:rPr>
                <w:rFonts w:cs="Arial"/>
              </w:rPr>
              <w:t>Bau und Funktion der menschlichen Ge</w:t>
            </w:r>
            <w:r w:rsidRPr="001B293D">
              <w:rPr>
                <w:rFonts w:cs="Arial"/>
              </w:rPr>
              <w:softHyphen/>
              <w:t>schlechts</w:t>
            </w:r>
            <w:r w:rsidRPr="001B293D">
              <w:rPr>
                <w:rFonts w:cs="Arial"/>
              </w:rPr>
              <w:softHyphen/>
            </w:r>
            <w:r w:rsidRPr="001B293D">
              <w:rPr>
                <w:rFonts w:cs="Arial"/>
              </w:rPr>
              <w:softHyphen/>
              <w:t>organe erläutern (UF1).</w:t>
            </w:r>
          </w:p>
        </w:tc>
        <w:tc>
          <w:tcPr>
            <w:tcW w:w="228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F36C85" w14:textId="0AFDCF68" w:rsidR="00B577F4" w:rsidRPr="00D465B7" w:rsidRDefault="00423ABB" w:rsidP="00B2652F">
            <w:pPr>
              <w:spacing w:before="120" w:after="60" w:line="240" w:lineRule="auto"/>
              <w:rPr>
                <w:rFonts w:eastAsia="Times New Roman" w:cs="Arial"/>
                <w:lang w:eastAsia="de-DE"/>
              </w:rPr>
            </w:pPr>
            <w:r w:rsidRPr="00D465B7">
              <w:rPr>
                <w:rFonts w:eastAsia="Times New Roman" w:cs="Arial"/>
                <w:lang w:eastAsia="de-DE"/>
              </w:rPr>
              <w:t xml:space="preserve">Problematisierung z. B. </w:t>
            </w:r>
            <w:r w:rsidR="00EC6AE4">
              <w:rPr>
                <w:rFonts w:eastAsia="Times New Roman" w:cs="Arial"/>
                <w:lang w:eastAsia="de-DE"/>
              </w:rPr>
              <w:t xml:space="preserve">anhand von </w:t>
            </w:r>
            <w:r w:rsidR="00EC6AE4" w:rsidRPr="00B2652F">
              <w:rPr>
                <w:rFonts w:eastAsia="Times New Roman" w:cs="Arial"/>
                <w:lang w:eastAsia="de-DE"/>
              </w:rPr>
              <w:t xml:space="preserve">Fragen der Schüler/innen </w:t>
            </w:r>
            <w:r w:rsidR="001F16DE" w:rsidRPr="00D465B7">
              <w:rPr>
                <w:rFonts w:eastAsia="Times New Roman" w:cs="Arial"/>
                <w:lang w:eastAsia="de-DE"/>
              </w:rPr>
              <w:t>(„Warum unterscheiden sich Mädchen und Jung</w:t>
            </w:r>
            <w:r w:rsidR="00302D76" w:rsidRPr="00D465B7">
              <w:rPr>
                <w:rFonts w:eastAsia="Times New Roman" w:cs="Arial"/>
                <w:lang w:eastAsia="de-DE"/>
              </w:rPr>
              <w:t>en</w:t>
            </w:r>
            <w:r w:rsidR="001F16DE" w:rsidRPr="00D465B7">
              <w:rPr>
                <w:rFonts w:eastAsia="Times New Roman" w:cs="Arial"/>
                <w:lang w:eastAsia="de-DE"/>
              </w:rPr>
              <w:t>?“)</w:t>
            </w:r>
          </w:p>
          <w:p w14:paraId="65E55A28" w14:textId="22DF79B8" w:rsidR="00B577F4" w:rsidRPr="00D465B7" w:rsidRDefault="00423ABB" w:rsidP="00283C85">
            <w:pPr>
              <w:spacing w:after="60" w:line="240" w:lineRule="auto"/>
              <w:rPr>
                <w:rFonts w:eastAsia="Times New Roman" w:cs="Arial"/>
                <w:lang w:eastAsia="de-DE"/>
              </w:rPr>
            </w:pPr>
            <w:r w:rsidRPr="00D465B7">
              <w:rPr>
                <w:rFonts w:eastAsia="Times New Roman" w:cs="Arial"/>
                <w:lang w:eastAsia="de-DE"/>
              </w:rPr>
              <w:t xml:space="preserve">Erarbeitung z. B. </w:t>
            </w:r>
            <w:r w:rsidR="00D465B7" w:rsidRPr="00D465B7">
              <w:rPr>
                <w:rFonts w:eastAsia="Times New Roman" w:cs="Arial"/>
                <w:lang w:eastAsia="de-DE"/>
              </w:rPr>
              <w:t>mit Hilfe eines Informationstextes</w:t>
            </w:r>
          </w:p>
          <w:p w14:paraId="2F0F6FC6" w14:textId="5EE1D8B4" w:rsidR="00426060" w:rsidRPr="00D465B7" w:rsidRDefault="00283C85" w:rsidP="0032710E">
            <w:pPr>
              <w:spacing w:after="60" w:line="240" w:lineRule="auto"/>
              <w:rPr>
                <w:rFonts w:eastAsia="Times New Roman" w:cs="Arial"/>
                <w:lang w:eastAsia="de-DE"/>
              </w:rPr>
            </w:pPr>
            <w:r w:rsidRPr="00D465B7">
              <w:rPr>
                <w:rFonts w:eastAsia="Times New Roman" w:cs="Arial"/>
                <w:lang w:eastAsia="de-DE"/>
              </w:rPr>
              <w:t>Fokus: Funktion der Organbestandteile</w:t>
            </w:r>
            <w:r w:rsidR="00B577F4" w:rsidRPr="00D465B7">
              <w:rPr>
                <w:rFonts w:eastAsia="Times New Roman" w:cs="Arial"/>
                <w:lang w:eastAsia="de-DE"/>
              </w:rPr>
              <w:t xml:space="preserve"> </w:t>
            </w:r>
            <w:r w:rsidR="00B577F4" w:rsidRPr="00D465B7">
              <w:rPr>
                <w:rFonts w:cs="Arial"/>
              </w:rPr>
              <w:t xml:space="preserve">(z. B. Schutz und </w:t>
            </w:r>
            <w:r w:rsidR="00B03E76" w:rsidRPr="00D465B7">
              <w:rPr>
                <w:rFonts w:cs="Arial"/>
              </w:rPr>
              <w:t>Transport</w:t>
            </w:r>
            <w:r w:rsidR="00B577F4" w:rsidRPr="00D465B7">
              <w:rPr>
                <w:rFonts w:cs="Arial"/>
              </w:rPr>
              <w:t xml:space="preserve"> der Spermienzellen, Aufnahme der Spermienzellen, Produktion und Transport von Eizellen, Einnisten und Versorgen eines Embryos, Lustempfinden)</w:t>
            </w:r>
          </w:p>
        </w:tc>
      </w:tr>
      <w:tr w:rsidR="004F153E" w:rsidRPr="00E36D4A" w14:paraId="3B34E978" w14:textId="77777777" w:rsidTr="001B293D">
        <w:trPr>
          <w:trHeight w:val="644"/>
        </w:trPr>
        <w:tc>
          <w:tcPr>
            <w:tcW w:w="1184" w:type="pct"/>
            <w:tcBorders>
              <w:top w:val="nil"/>
            </w:tcBorders>
            <w:shd w:val="clear" w:color="auto" w:fill="auto"/>
          </w:tcPr>
          <w:p w14:paraId="5004A097" w14:textId="77777777" w:rsidR="00A27726" w:rsidRPr="00A27726" w:rsidRDefault="00A27726" w:rsidP="00A27726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170"/>
              <w:contextualSpacing w:val="0"/>
              <w:jc w:val="left"/>
              <w:rPr>
                <w:rFonts w:cs="Arial"/>
                <w:szCs w:val="20"/>
              </w:rPr>
            </w:pPr>
          </w:p>
          <w:p w14:paraId="22BF123D" w14:textId="2E5306F1" w:rsidR="00A27726" w:rsidRDefault="00A27726" w:rsidP="00A27726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170"/>
              <w:contextualSpacing w:val="0"/>
              <w:jc w:val="left"/>
              <w:rPr>
                <w:rFonts w:cs="Arial"/>
                <w:szCs w:val="20"/>
              </w:rPr>
            </w:pPr>
          </w:p>
          <w:p w14:paraId="423E1F78" w14:textId="644A2937" w:rsidR="00A27726" w:rsidRDefault="00A27726" w:rsidP="00A27726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170"/>
              <w:contextualSpacing w:val="0"/>
              <w:jc w:val="left"/>
              <w:rPr>
                <w:rFonts w:cs="Arial"/>
                <w:szCs w:val="20"/>
              </w:rPr>
            </w:pPr>
          </w:p>
          <w:p w14:paraId="0C1C0F08" w14:textId="04178F2C" w:rsidR="00A27726" w:rsidRDefault="00A27726" w:rsidP="00A27726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170"/>
              <w:contextualSpacing w:val="0"/>
              <w:jc w:val="left"/>
              <w:rPr>
                <w:rFonts w:cs="Arial"/>
                <w:szCs w:val="20"/>
              </w:rPr>
            </w:pPr>
          </w:p>
          <w:p w14:paraId="09D70491" w14:textId="52F713E4" w:rsidR="00E14992" w:rsidRDefault="00E14992" w:rsidP="00A27726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170"/>
              <w:contextualSpacing w:val="0"/>
              <w:jc w:val="left"/>
              <w:rPr>
                <w:rFonts w:cs="Arial"/>
                <w:szCs w:val="20"/>
              </w:rPr>
            </w:pPr>
          </w:p>
          <w:p w14:paraId="6BC2FC00" w14:textId="77777777" w:rsidR="0032710E" w:rsidRPr="00A27726" w:rsidRDefault="0032710E" w:rsidP="00A27726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170"/>
              <w:contextualSpacing w:val="0"/>
              <w:jc w:val="left"/>
              <w:rPr>
                <w:rFonts w:cs="Arial"/>
                <w:szCs w:val="20"/>
              </w:rPr>
            </w:pPr>
          </w:p>
          <w:p w14:paraId="18CA6402" w14:textId="2EE1AD38" w:rsidR="00A27726" w:rsidRPr="00567B66" w:rsidRDefault="00A27726" w:rsidP="00567B66">
            <w:pPr>
              <w:spacing w:before="60" w:after="60" w:line="240" w:lineRule="auto"/>
              <w:rPr>
                <w:rFonts w:cs="Arial"/>
                <w:szCs w:val="20"/>
              </w:rPr>
            </w:pPr>
            <w:r w:rsidRPr="00567B66">
              <w:rPr>
                <w:rFonts w:cs="Arial"/>
                <w:szCs w:val="20"/>
              </w:rPr>
              <w:t>Körperpflege und Hygiene</w:t>
            </w:r>
          </w:p>
          <w:p w14:paraId="19B28EEC" w14:textId="324A749A" w:rsidR="004F153E" w:rsidRDefault="004F153E" w:rsidP="004F153E">
            <w:pPr>
              <w:spacing w:after="0" w:line="240" w:lineRule="auto"/>
              <w:rPr>
                <w:rFonts w:eastAsia="Times New Roman" w:cs="Arial"/>
                <w:i/>
                <w:lang w:eastAsia="de-DE"/>
              </w:rPr>
            </w:pPr>
          </w:p>
          <w:p w14:paraId="6D68014C" w14:textId="4A06BA25" w:rsidR="0032710E" w:rsidRDefault="0032710E" w:rsidP="004F153E">
            <w:pPr>
              <w:spacing w:after="0" w:line="240" w:lineRule="auto"/>
              <w:rPr>
                <w:rFonts w:eastAsia="Times New Roman" w:cs="Arial"/>
                <w:i/>
                <w:lang w:eastAsia="de-DE"/>
              </w:rPr>
            </w:pPr>
          </w:p>
          <w:p w14:paraId="7F1FE8E4" w14:textId="06366FAA" w:rsidR="0032710E" w:rsidRDefault="0032710E" w:rsidP="004F153E">
            <w:pPr>
              <w:spacing w:after="0" w:line="240" w:lineRule="auto"/>
              <w:rPr>
                <w:rFonts w:eastAsia="Times New Roman" w:cs="Arial"/>
                <w:i/>
                <w:lang w:eastAsia="de-DE"/>
              </w:rPr>
            </w:pPr>
          </w:p>
          <w:p w14:paraId="7166718B" w14:textId="021EE8D2" w:rsidR="0032710E" w:rsidRDefault="0032710E" w:rsidP="004F153E">
            <w:pPr>
              <w:spacing w:after="0" w:line="240" w:lineRule="auto"/>
              <w:rPr>
                <w:rFonts w:eastAsia="Times New Roman" w:cs="Arial"/>
                <w:i/>
                <w:lang w:eastAsia="de-DE"/>
              </w:rPr>
            </w:pPr>
          </w:p>
          <w:p w14:paraId="76D6758F" w14:textId="77777777" w:rsidR="0032710E" w:rsidRPr="00D465B7" w:rsidRDefault="0032710E" w:rsidP="004F153E">
            <w:pPr>
              <w:spacing w:after="0" w:line="240" w:lineRule="auto"/>
              <w:rPr>
                <w:rFonts w:eastAsia="Times New Roman" w:cs="Arial"/>
                <w:i/>
                <w:lang w:eastAsia="de-DE"/>
              </w:rPr>
            </w:pPr>
          </w:p>
          <w:p w14:paraId="78A63CAB" w14:textId="42EE782D" w:rsidR="004F153E" w:rsidRPr="00B2652F" w:rsidRDefault="00AE4BDB" w:rsidP="00B2652F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insgesamt </w:t>
            </w:r>
            <w:r w:rsidR="004F153E" w:rsidRPr="00B2652F">
              <w:rPr>
                <w:rFonts w:eastAsia="Times New Roman" w:cs="Arial"/>
                <w:lang w:eastAsia="de-DE"/>
              </w:rPr>
              <w:t xml:space="preserve">ca. 7 </w:t>
            </w:r>
            <w:proofErr w:type="spellStart"/>
            <w:r w:rsidR="004F153E" w:rsidRPr="00B2652F">
              <w:rPr>
                <w:rFonts w:eastAsia="Times New Roman" w:cs="Arial"/>
                <w:lang w:eastAsia="de-DE"/>
              </w:rPr>
              <w:t>Ust</w:t>
            </w:r>
            <w:r w:rsidR="00B2652F">
              <w:rPr>
                <w:rFonts w:eastAsia="Times New Roman" w:cs="Arial"/>
                <w:lang w:eastAsia="de-DE"/>
              </w:rPr>
              <w:t>d</w:t>
            </w:r>
            <w:proofErr w:type="spellEnd"/>
            <w:r w:rsidR="00B2652F">
              <w:rPr>
                <w:rFonts w:eastAsia="Times New Roman" w:cs="Arial"/>
                <w:lang w:eastAsia="de-DE"/>
              </w:rPr>
              <w:t>.</w:t>
            </w:r>
          </w:p>
          <w:p w14:paraId="58D203BD" w14:textId="54936A78" w:rsidR="004F153E" w:rsidRPr="00D465B7" w:rsidRDefault="004F153E" w:rsidP="001B293D">
            <w:pPr>
              <w:spacing w:after="0" w:line="240" w:lineRule="auto"/>
              <w:jc w:val="right"/>
              <w:rPr>
                <w:rFonts w:eastAsia="Times New Roman" w:cs="Arial"/>
                <w:b/>
                <w:i/>
                <w:lang w:eastAsia="de-DE"/>
              </w:rPr>
            </w:pPr>
            <w:r w:rsidRPr="00B2652F">
              <w:rPr>
                <w:rFonts w:eastAsia="Times New Roman" w:cs="Arial"/>
                <w:lang w:eastAsia="de-DE"/>
              </w:rPr>
              <w:t>+ zusätzlicher Projekttag</w:t>
            </w:r>
          </w:p>
        </w:tc>
        <w:tc>
          <w:tcPr>
            <w:tcW w:w="1530" w:type="pct"/>
            <w:tcBorders>
              <w:top w:val="nil"/>
            </w:tcBorders>
            <w:shd w:val="clear" w:color="auto" w:fill="auto"/>
          </w:tcPr>
          <w:p w14:paraId="0BE642C1" w14:textId="24EDB89A" w:rsidR="004F153E" w:rsidRPr="001B293D" w:rsidRDefault="004F153E" w:rsidP="001B293D">
            <w:pPr>
              <w:spacing w:after="60" w:line="240" w:lineRule="auto"/>
              <w:rPr>
                <w:rFonts w:cs="Arial"/>
              </w:rPr>
            </w:pPr>
            <w:r w:rsidRPr="001B293D">
              <w:rPr>
                <w:rFonts w:cs="Arial"/>
              </w:rPr>
              <w:t>den weiblichen Zyklus in Grund</w:t>
            </w:r>
            <w:r w:rsidRPr="001B293D">
              <w:rPr>
                <w:rFonts w:cs="Arial"/>
              </w:rPr>
              <w:softHyphen/>
              <w:t>zügen erklären (UF1, UF4)</w:t>
            </w:r>
            <w:r w:rsidR="00E04419">
              <w:rPr>
                <w:rFonts w:cs="Arial"/>
              </w:rPr>
              <w:t>.</w:t>
            </w:r>
          </w:p>
        </w:tc>
        <w:tc>
          <w:tcPr>
            <w:tcW w:w="2286" w:type="pct"/>
            <w:tcBorders>
              <w:top w:val="nil"/>
            </w:tcBorders>
            <w:shd w:val="clear" w:color="auto" w:fill="auto"/>
          </w:tcPr>
          <w:p w14:paraId="56CA557E" w14:textId="32CD0DAC" w:rsidR="00B577F4" w:rsidRPr="00D465B7" w:rsidRDefault="00B577F4" w:rsidP="0032710E">
            <w:pPr>
              <w:spacing w:after="60" w:line="240" w:lineRule="auto"/>
              <w:rPr>
                <w:rFonts w:cs="Arial"/>
                <w:szCs w:val="20"/>
              </w:rPr>
            </w:pPr>
            <w:r w:rsidRPr="00D465B7">
              <w:rPr>
                <w:rFonts w:cs="Arial"/>
                <w:szCs w:val="20"/>
              </w:rPr>
              <w:t>Problematisierung</w:t>
            </w:r>
            <w:r w:rsidR="00423ABB" w:rsidRPr="00D465B7">
              <w:rPr>
                <w:rFonts w:cs="Arial"/>
                <w:szCs w:val="20"/>
              </w:rPr>
              <w:t>, z. B. mittels Fragen</w:t>
            </w:r>
            <w:r w:rsidR="00DE5224" w:rsidRPr="00D465B7">
              <w:rPr>
                <w:rFonts w:cs="Arial"/>
                <w:szCs w:val="20"/>
              </w:rPr>
              <w:t>katalog</w:t>
            </w:r>
            <w:r w:rsidR="001B293D">
              <w:rPr>
                <w:rFonts w:cs="Arial"/>
                <w:szCs w:val="20"/>
              </w:rPr>
              <w:t xml:space="preserve"> („Was sind `die Tage´</w:t>
            </w:r>
            <w:r w:rsidR="00423ABB" w:rsidRPr="00D465B7">
              <w:rPr>
                <w:rFonts w:cs="Arial"/>
                <w:szCs w:val="20"/>
              </w:rPr>
              <w:t>?“)</w:t>
            </w:r>
          </w:p>
          <w:p w14:paraId="7A792134" w14:textId="5506B27A" w:rsidR="004F153E" w:rsidRPr="00D465B7" w:rsidRDefault="00615AE1" w:rsidP="00345DBA">
            <w:pPr>
              <w:pStyle w:val="Listenabsatz"/>
              <w:numPr>
                <w:ilvl w:val="0"/>
                <w:numId w:val="33"/>
              </w:numPr>
              <w:spacing w:before="60" w:after="0" w:line="240" w:lineRule="auto"/>
              <w:ind w:left="172" w:hanging="172"/>
              <w:jc w:val="left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EF37BF" w:rsidRPr="00D465B7">
              <w:rPr>
                <w:rFonts w:cs="Arial"/>
              </w:rPr>
              <w:t>idaktische Reduktion</w:t>
            </w:r>
            <w:r w:rsidR="004F153E" w:rsidRPr="00D465B7">
              <w:rPr>
                <w:rFonts w:cs="Arial"/>
              </w:rPr>
              <w:t xml:space="preserve">: Aufbau der </w:t>
            </w:r>
            <w:proofErr w:type="spellStart"/>
            <w:r w:rsidR="004F153E" w:rsidRPr="00D465B7">
              <w:rPr>
                <w:rFonts w:cs="Arial"/>
              </w:rPr>
              <w:t>Gebärmutter</w:t>
            </w:r>
            <w:r w:rsidR="004F153E" w:rsidRPr="00D465B7">
              <w:rPr>
                <w:rFonts w:cs="Arial"/>
              </w:rPr>
              <w:softHyphen/>
              <w:t>schleimhaut</w:t>
            </w:r>
            <w:proofErr w:type="spellEnd"/>
            <w:r w:rsidR="004F153E" w:rsidRPr="00D465B7">
              <w:rPr>
                <w:rFonts w:cs="Arial"/>
              </w:rPr>
              <w:t>, Eisprung, Blutung und Regelschmerzen</w:t>
            </w:r>
          </w:p>
          <w:p w14:paraId="63677D35" w14:textId="567D4596" w:rsidR="002F28F0" w:rsidRPr="00D465B7" w:rsidRDefault="00BE1E3D" w:rsidP="001A26B3">
            <w:pPr>
              <w:pStyle w:val="Listenabsatz"/>
              <w:numPr>
                <w:ilvl w:val="0"/>
                <w:numId w:val="33"/>
              </w:numPr>
              <w:spacing w:before="60" w:after="0" w:line="240" w:lineRule="auto"/>
              <w:ind w:left="172" w:hanging="172"/>
              <w:rPr>
                <w:rFonts w:cs="Arial"/>
              </w:rPr>
            </w:pPr>
            <w:r w:rsidRPr="00D465B7">
              <w:rPr>
                <w:rFonts w:cs="Arial"/>
              </w:rPr>
              <w:t>Darstellung</w:t>
            </w:r>
            <w:r w:rsidR="004F153E" w:rsidRPr="00D465B7">
              <w:rPr>
                <w:rFonts w:cs="Arial"/>
              </w:rPr>
              <w:t xml:space="preserve"> des Zyklus als </w:t>
            </w:r>
            <w:r w:rsidRPr="00D465B7">
              <w:rPr>
                <w:rFonts w:cs="Arial"/>
              </w:rPr>
              <w:t>„</w:t>
            </w:r>
            <w:r w:rsidR="004F153E" w:rsidRPr="00D465B7">
              <w:rPr>
                <w:rFonts w:cs="Arial"/>
              </w:rPr>
              <w:t>Uhr</w:t>
            </w:r>
            <w:r w:rsidRPr="00D465B7">
              <w:rPr>
                <w:rFonts w:cs="Arial"/>
              </w:rPr>
              <w:t>“</w:t>
            </w:r>
          </w:p>
          <w:p w14:paraId="13FBCAA5" w14:textId="15D2B29F" w:rsidR="004F153E" w:rsidRPr="00D465B7" w:rsidRDefault="002F28F0" w:rsidP="001A26B3">
            <w:pPr>
              <w:pStyle w:val="Listenabsatz"/>
              <w:numPr>
                <w:ilvl w:val="0"/>
                <w:numId w:val="33"/>
              </w:numPr>
              <w:spacing w:before="60" w:after="0" w:line="240" w:lineRule="auto"/>
              <w:ind w:left="172" w:hanging="172"/>
              <w:rPr>
                <w:rFonts w:cs="Arial"/>
              </w:rPr>
            </w:pPr>
            <w:r w:rsidRPr="00D465B7">
              <w:rPr>
                <w:rFonts w:cs="Arial"/>
              </w:rPr>
              <w:t>Abweichung vom Schema ist die Regel (z. B. variierende Zykluslänge)</w:t>
            </w:r>
          </w:p>
          <w:p w14:paraId="3D99CE12" w14:textId="62A6F289" w:rsidR="004F153E" w:rsidRPr="001A26B3" w:rsidRDefault="004F153E" w:rsidP="00345DBA">
            <w:pPr>
              <w:pStyle w:val="Listenabsatz"/>
              <w:numPr>
                <w:ilvl w:val="0"/>
                <w:numId w:val="33"/>
              </w:numPr>
              <w:spacing w:before="60" w:after="0" w:line="240" w:lineRule="auto"/>
              <w:ind w:left="172" w:hanging="172"/>
              <w:jc w:val="left"/>
              <w:rPr>
                <w:rFonts w:cs="Arial"/>
                <w:color w:val="0070C0"/>
              </w:rPr>
            </w:pPr>
            <w:r w:rsidRPr="001A26B3">
              <w:rPr>
                <w:rFonts w:cs="Arial"/>
                <w:color w:val="0070C0"/>
              </w:rPr>
              <w:t>Datenauswertung: Zykluslänge, Prognose für nächste Blutung und fruchtbare Tage anhand eines Menstruationskalenders</w:t>
            </w:r>
          </w:p>
          <w:p w14:paraId="44F6440D" w14:textId="0A593B2D" w:rsidR="0072627C" w:rsidRPr="001A26B3" w:rsidRDefault="0032710E" w:rsidP="00345DBA">
            <w:pPr>
              <w:pStyle w:val="Listenabsatz"/>
              <w:numPr>
                <w:ilvl w:val="0"/>
                <w:numId w:val="33"/>
              </w:numPr>
              <w:spacing w:before="60" w:after="0" w:line="240" w:lineRule="auto"/>
              <w:ind w:left="172" w:hanging="17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Thematisierung von </w:t>
            </w:r>
            <w:r w:rsidR="0072627C" w:rsidRPr="001A26B3">
              <w:rPr>
                <w:rFonts w:cs="Arial"/>
              </w:rPr>
              <w:t>Hygiene und offene Fragen (bei den Jungen auch: Phimose, Hoden</w:t>
            </w:r>
            <w:r w:rsidR="00615AE1">
              <w:rPr>
                <w:rFonts w:cs="Arial"/>
              </w:rPr>
              <w:softHyphen/>
            </w:r>
            <w:r w:rsidR="0072627C" w:rsidRPr="001A26B3">
              <w:rPr>
                <w:rFonts w:cs="Arial"/>
              </w:rPr>
              <w:t xml:space="preserve">hochstand) am Projekttag in </w:t>
            </w:r>
            <w:proofErr w:type="spellStart"/>
            <w:r>
              <w:rPr>
                <w:rFonts w:cs="Arial"/>
              </w:rPr>
              <w:t>g</w:t>
            </w:r>
            <w:r w:rsidR="0072627C" w:rsidRPr="001A26B3">
              <w:rPr>
                <w:rFonts w:cs="Arial"/>
              </w:rPr>
              <w:t>eschlechts</w:t>
            </w:r>
            <w:r>
              <w:rPr>
                <w:rFonts w:cs="Arial"/>
              </w:rPr>
              <w:softHyphen/>
            </w:r>
            <w:r w:rsidR="0072627C" w:rsidRPr="001A26B3">
              <w:rPr>
                <w:rFonts w:cs="Arial"/>
              </w:rPr>
              <w:t>getrennten</w:t>
            </w:r>
            <w:proofErr w:type="spellEnd"/>
            <w:r w:rsidR="0072627C" w:rsidRPr="001A26B3">
              <w:rPr>
                <w:rFonts w:cs="Arial"/>
              </w:rPr>
              <w:t xml:space="preserve"> Gruppen </w:t>
            </w:r>
          </w:p>
          <w:p w14:paraId="5278931A" w14:textId="77777777" w:rsidR="008962A6" w:rsidRPr="00D465B7" w:rsidRDefault="002A19E7" w:rsidP="00CC1A7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0" w:line="240" w:lineRule="auto"/>
              <w:mirrorIndents/>
              <w:rPr>
                <w:rFonts w:cs="Arial"/>
                <w:i/>
              </w:rPr>
            </w:pPr>
            <w:r w:rsidRPr="00D465B7">
              <w:rPr>
                <w:rFonts w:cs="Arial"/>
                <w:i/>
              </w:rPr>
              <w:t xml:space="preserve">Kernaussage: </w:t>
            </w:r>
          </w:p>
          <w:p w14:paraId="20342C08" w14:textId="77777777" w:rsidR="00D465B7" w:rsidRDefault="00D465B7" w:rsidP="002A19E7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cs="Arial"/>
                <w:i/>
              </w:rPr>
            </w:pPr>
            <w:r w:rsidRPr="00D465B7">
              <w:rPr>
                <w:rFonts w:cs="Arial"/>
                <w:i/>
              </w:rPr>
              <w:t>Der Bau der Geschlechtsorgane ist eine Angepasst</w:t>
            </w:r>
            <w:r w:rsidRPr="00D465B7">
              <w:rPr>
                <w:rFonts w:cs="Arial"/>
                <w:i/>
              </w:rPr>
              <w:softHyphen/>
              <w:t>heit an die Fortpflanzungs</w:t>
            </w:r>
            <w:r w:rsidRPr="00D465B7">
              <w:rPr>
                <w:rFonts w:cs="Arial"/>
                <w:i/>
              </w:rPr>
              <w:softHyphen/>
              <w:t xml:space="preserve">fähigkeit. </w:t>
            </w:r>
          </w:p>
          <w:p w14:paraId="1B9B9878" w14:textId="2BD9C18B" w:rsidR="00D975C5" w:rsidRPr="0072627C" w:rsidRDefault="00D975C5" w:rsidP="0072627C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cs="Arial"/>
                <w:i/>
              </w:rPr>
            </w:pPr>
            <w:r w:rsidRPr="00D465B7">
              <w:rPr>
                <w:rFonts w:cs="Arial"/>
                <w:i/>
              </w:rPr>
              <w:t xml:space="preserve">Auf- und Abbau der Gebärmutterschleimhaut, Eireifung und Eisprung wiederholen sich in einem etwa vierwöchigen Zyklus, wobei der Eisprung etwa 14 </w:t>
            </w:r>
            <w:r w:rsidR="008962A6" w:rsidRPr="00D465B7">
              <w:rPr>
                <w:rFonts w:cs="Arial"/>
                <w:i/>
              </w:rPr>
              <w:t xml:space="preserve">Tage vor Beginn der Blutung </w:t>
            </w:r>
            <w:r w:rsidRPr="00D465B7">
              <w:rPr>
                <w:rFonts w:cs="Arial"/>
                <w:i/>
              </w:rPr>
              <w:t>erfolgt.</w:t>
            </w:r>
            <w:r w:rsidR="00EF37BF" w:rsidRPr="00D465B7">
              <w:rPr>
                <w:rFonts w:cs="Arial"/>
                <w:i/>
              </w:rPr>
              <w:t xml:space="preserve"> </w:t>
            </w:r>
          </w:p>
        </w:tc>
      </w:tr>
    </w:tbl>
    <w:p w14:paraId="59A20CB0" w14:textId="77777777" w:rsidR="00767035" w:rsidRDefault="00767035" w:rsidP="0032710E">
      <w:pPr>
        <w:spacing w:after="0"/>
      </w:pPr>
    </w:p>
    <w:p w14:paraId="49CC22F5" w14:textId="77777777" w:rsidR="001B293D" w:rsidRDefault="001B293D" w:rsidP="0032710E">
      <w:pPr>
        <w:spacing w:after="0"/>
      </w:pPr>
    </w:p>
    <w:p w14:paraId="3765E97F" w14:textId="77777777" w:rsidR="001B293D" w:rsidRDefault="001B293D" w:rsidP="0032710E">
      <w:pPr>
        <w:spacing w:after="0"/>
      </w:pPr>
    </w:p>
    <w:p w14:paraId="5BBB7478" w14:textId="77777777" w:rsidR="001B293D" w:rsidRDefault="001B293D" w:rsidP="0032710E">
      <w:pPr>
        <w:spacing w:after="0"/>
      </w:pPr>
    </w:p>
    <w:p w14:paraId="034DB026" w14:textId="77777777" w:rsidR="001B293D" w:rsidRDefault="001B293D" w:rsidP="0032710E">
      <w:pPr>
        <w:spacing w:after="0"/>
      </w:pPr>
    </w:p>
    <w:p w14:paraId="566B59C6" w14:textId="77777777" w:rsidR="001B293D" w:rsidRDefault="001B293D" w:rsidP="0032710E">
      <w:pPr>
        <w:spacing w:after="0"/>
      </w:pPr>
    </w:p>
    <w:p w14:paraId="416FF670" w14:textId="77777777" w:rsidR="001B293D" w:rsidRDefault="001B293D" w:rsidP="0032710E">
      <w:pPr>
        <w:spacing w:after="0"/>
      </w:pPr>
    </w:p>
    <w:p w14:paraId="7F4DEE2A" w14:textId="77228B7A" w:rsidR="001B293D" w:rsidRDefault="001B293D" w:rsidP="0032710E">
      <w:pPr>
        <w:spacing w:after="0"/>
        <w:rPr>
          <w:b/>
        </w:rPr>
      </w:pPr>
      <w:r w:rsidRPr="001B293D">
        <w:rPr>
          <w:b/>
        </w:rPr>
        <w:t>Weiterführende Materialien:</w:t>
      </w:r>
    </w:p>
    <w:p w14:paraId="6F5FF511" w14:textId="77777777" w:rsidR="001B293D" w:rsidRPr="001B293D" w:rsidRDefault="001B293D" w:rsidP="0032710E">
      <w:pPr>
        <w:spacing w:after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74"/>
        <w:gridCol w:w="5669"/>
        <w:gridCol w:w="8443"/>
      </w:tblGrid>
      <w:tr w:rsidR="00767035" w:rsidRPr="00767035" w14:paraId="14435C6F" w14:textId="77777777" w:rsidTr="003747D5">
        <w:trPr>
          <w:trHeight w:val="254"/>
        </w:trPr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38CD9447" w14:textId="77777777" w:rsidR="00767035" w:rsidRPr="00767035" w:rsidRDefault="00767035" w:rsidP="002C385C">
            <w:pPr>
              <w:spacing w:before="60" w:after="0"/>
              <w:rPr>
                <w:b/>
              </w:rPr>
            </w:pPr>
            <w:r w:rsidRPr="00767035">
              <w:rPr>
                <w:b/>
              </w:rPr>
              <w:t>Nr.</w:t>
            </w:r>
          </w:p>
        </w:tc>
        <w:tc>
          <w:tcPr>
            <w:tcW w:w="1917" w:type="pct"/>
            <w:shd w:val="clear" w:color="auto" w:fill="D9D9D9" w:themeFill="background1" w:themeFillShade="D9"/>
          </w:tcPr>
          <w:p w14:paraId="41BE478D" w14:textId="77777777" w:rsidR="00767035" w:rsidRPr="00767035" w:rsidRDefault="00767035" w:rsidP="002C385C">
            <w:pPr>
              <w:spacing w:before="60" w:after="0"/>
              <w:rPr>
                <w:b/>
              </w:rPr>
            </w:pPr>
            <w:r w:rsidRPr="00767035">
              <w:rPr>
                <w:b/>
              </w:rPr>
              <w:t>Quellenangabe</w:t>
            </w:r>
          </w:p>
        </w:tc>
        <w:tc>
          <w:tcPr>
            <w:tcW w:w="2854" w:type="pct"/>
            <w:shd w:val="clear" w:color="auto" w:fill="D9D9D9" w:themeFill="background1" w:themeFillShade="D9"/>
          </w:tcPr>
          <w:p w14:paraId="3BCBCB4F" w14:textId="317FD842" w:rsidR="00767035" w:rsidRPr="00767035" w:rsidRDefault="00767035" w:rsidP="002C385C">
            <w:pPr>
              <w:spacing w:before="60" w:after="0"/>
              <w:rPr>
                <w:b/>
              </w:rPr>
            </w:pPr>
            <w:r w:rsidRPr="00767035">
              <w:rPr>
                <w:b/>
              </w:rPr>
              <w:t>Kurzbeschreibung des Inhalts / der Quelle</w:t>
            </w:r>
          </w:p>
        </w:tc>
      </w:tr>
      <w:tr w:rsidR="00767035" w:rsidRPr="0032710E" w14:paraId="3E2FBE67" w14:textId="77777777" w:rsidTr="003747D5">
        <w:trPr>
          <w:trHeight w:val="254"/>
        </w:trPr>
        <w:tc>
          <w:tcPr>
            <w:tcW w:w="228" w:type="pct"/>
            <w:vAlign w:val="center"/>
          </w:tcPr>
          <w:p w14:paraId="773DD3C8" w14:textId="77777777" w:rsidR="00767035" w:rsidRPr="0032710E" w:rsidRDefault="00767035" w:rsidP="001B293D">
            <w:pPr>
              <w:jc w:val="center"/>
              <w:rPr>
                <w:sz w:val="20"/>
              </w:rPr>
            </w:pPr>
            <w:r w:rsidRPr="0032710E">
              <w:rPr>
                <w:sz w:val="20"/>
              </w:rPr>
              <w:t>1</w:t>
            </w:r>
          </w:p>
        </w:tc>
        <w:tc>
          <w:tcPr>
            <w:tcW w:w="1917" w:type="pct"/>
            <w:vAlign w:val="center"/>
          </w:tcPr>
          <w:p w14:paraId="19F2881C" w14:textId="29564F72" w:rsidR="00767035" w:rsidRPr="001B293D" w:rsidRDefault="00767035" w:rsidP="001B293D">
            <w:pPr>
              <w:spacing w:after="0" w:line="240" w:lineRule="auto"/>
            </w:pPr>
            <w:r w:rsidRPr="001B293D">
              <w:t>Uschi Flacke u. a. „Aufregende Jahre: Jules Tagebuch“</w:t>
            </w:r>
            <w:r w:rsidR="002C385C" w:rsidRPr="001B293D">
              <w:t xml:space="preserve">, </w:t>
            </w:r>
            <w:proofErr w:type="spellStart"/>
            <w:r w:rsidR="002C385C" w:rsidRPr="001B293D">
              <w:t>h</w:t>
            </w:r>
            <w:r w:rsidRPr="001B293D">
              <w:t>g</w:t>
            </w:r>
            <w:proofErr w:type="spellEnd"/>
            <w:r w:rsidRPr="001B293D">
              <w:t>. v. der Bundeszentrale für Gesundheitliche Aufklärung. Köln: 2004.</w:t>
            </w:r>
          </w:p>
          <w:p w14:paraId="085C55BE" w14:textId="0288BA3A" w:rsidR="00767035" w:rsidRPr="001B293D" w:rsidRDefault="00767035" w:rsidP="001B293D">
            <w:pPr>
              <w:spacing w:after="0" w:line="240" w:lineRule="auto"/>
            </w:pPr>
            <w:r w:rsidRPr="001B293D">
              <w:t xml:space="preserve">[Download und Bestellung unter </w:t>
            </w:r>
            <w:hyperlink r:id="rId9" w:history="1">
              <w:r w:rsidRPr="003747D5">
                <w:rPr>
                  <w:rStyle w:val="Hyperlink"/>
                  <w:color w:val="auto"/>
                </w:rPr>
                <w:t>https://www.bzga.de/infomaterialien</w:t>
              </w:r>
            </w:hyperlink>
            <w:r w:rsidRPr="003747D5">
              <w:t xml:space="preserve">, </w:t>
            </w:r>
            <w:r w:rsidRPr="001B293D">
              <w:t>zuletzt aufgerufen am 19.2.2019]</w:t>
            </w:r>
          </w:p>
        </w:tc>
        <w:tc>
          <w:tcPr>
            <w:tcW w:w="2854" w:type="pct"/>
            <w:vAlign w:val="center"/>
          </w:tcPr>
          <w:p w14:paraId="7E7AF828" w14:textId="4B7C34BE" w:rsidR="00767035" w:rsidRDefault="00767035" w:rsidP="001B293D">
            <w:pPr>
              <w:spacing w:after="0" w:line="240" w:lineRule="auto"/>
            </w:pPr>
            <w:r w:rsidRPr="001B293D">
              <w:t xml:space="preserve">Biologische und erzieherisch relevante Aspekte des </w:t>
            </w:r>
            <w:proofErr w:type="spellStart"/>
            <w:r w:rsidRPr="001B293D">
              <w:t>Erwachsen</w:t>
            </w:r>
            <w:r w:rsidRPr="001B293D">
              <w:softHyphen/>
              <w:t>werdens</w:t>
            </w:r>
            <w:proofErr w:type="spellEnd"/>
            <w:r w:rsidRPr="001B293D">
              <w:t xml:space="preserve"> werden systematisch behandelt. Die biologischen Zusammenhänge </w:t>
            </w:r>
            <w:r w:rsidR="00345DBA" w:rsidRPr="001B293D">
              <w:t xml:space="preserve">sind </w:t>
            </w:r>
            <w:r w:rsidRPr="001B293D">
              <w:t>dabei zumeist mit Hilfe von passenden Abbildungen erklärt. Durch die Tagebuchform ergeben sich biographische Kontexte</w:t>
            </w:r>
            <w:r w:rsidR="00001231">
              <w:t>.</w:t>
            </w:r>
            <w:r w:rsidR="00001231">
              <w:br/>
              <w:t xml:space="preserve">Derzeit </w:t>
            </w:r>
            <w:r w:rsidRPr="00001231">
              <w:t xml:space="preserve">existiert keine Version aus </w:t>
            </w:r>
            <w:r w:rsidR="0032710E" w:rsidRPr="00001231">
              <w:t xml:space="preserve">der Sicht von </w:t>
            </w:r>
            <w:r w:rsidRPr="00001231">
              <w:t>Jungen.</w:t>
            </w:r>
          </w:p>
          <w:p w14:paraId="446E6D77" w14:textId="77777777" w:rsidR="0071184B" w:rsidRDefault="0071184B" w:rsidP="001B293D">
            <w:pPr>
              <w:spacing w:after="0" w:line="240" w:lineRule="auto"/>
            </w:pPr>
          </w:p>
          <w:p w14:paraId="59521D02" w14:textId="2C9C0F03" w:rsidR="00767035" w:rsidRPr="001B293D" w:rsidRDefault="00767035" w:rsidP="001B293D">
            <w:pPr>
              <w:spacing w:after="0" w:line="240" w:lineRule="auto"/>
            </w:pPr>
            <w:r w:rsidRPr="001B293D">
              <w:t>Die Broschüre ist im Klassensatz kostenlos bei der Bundeszentrale für gesundheitliche Aufklärung erhältlich.</w:t>
            </w:r>
          </w:p>
        </w:tc>
      </w:tr>
    </w:tbl>
    <w:p w14:paraId="0F27AF4A" w14:textId="0D95488E" w:rsidR="00FB67E5" w:rsidRDefault="00FB67E5" w:rsidP="002C385C">
      <w:pPr>
        <w:spacing w:after="0"/>
        <w:rPr>
          <w:rFonts w:cs="Arial"/>
          <w:b/>
          <w:sz w:val="2"/>
        </w:rPr>
      </w:pPr>
    </w:p>
    <w:p w14:paraId="6DF3FE44" w14:textId="77777777" w:rsidR="0071184B" w:rsidRPr="002C385C" w:rsidRDefault="0071184B" w:rsidP="002C385C">
      <w:pPr>
        <w:spacing w:after="0"/>
        <w:rPr>
          <w:rFonts w:cs="Arial"/>
          <w:b/>
          <w:sz w:val="2"/>
        </w:rPr>
      </w:pPr>
    </w:p>
    <w:sectPr w:rsidR="0071184B" w:rsidRPr="002C385C" w:rsidSect="00BE30F0">
      <w:footerReference w:type="default" r:id="rId10"/>
      <w:type w:val="continuous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5FA2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5FA2D4" w16cid:durableId="20A0D4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9AC96" w14:textId="77777777" w:rsidR="002E00F8" w:rsidRDefault="002E00F8" w:rsidP="007C475B">
      <w:pPr>
        <w:spacing w:after="0" w:line="240" w:lineRule="auto"/>
      </w:pPr>
      <w:r>
        <w:separator/>
      </w:r>
    </w:p>
  </w:endnote>
  <w:endnote w:type="continuationSeparator" w:id="0">
    <w:p w14:paraId="470ADE3C" w14:textId="77777777" w:rsidR="002E00F8" w:rsidRDefault="002E00F8" w:rsidP="007C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rostile">
    <w:altName w:val="Agency FB"/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87620"/>
      <w:docPartObj>
        <w:docPartGallery w:val="Page Numbers (Bottom of Page)"/>
        <w:docPartUnique/>
      </w:docPartObj>
    </w:sdtPr>
    <w:sdtEndPr/>
    <w:sdtContent>
      <w:p w14:paraId="2D0F70AE" w14:textId="169A289D" w:rsidR="00BE30F0" w:rsidRDefault="00BE30F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9C0">
          <w:rPr>
            <w:noProof/>
          </w:rPr>
          <w:t>1</w:t>
        </w:r>
        <w:r>
          <w:fldChar w:fldCharType="end"/>
        </w:r>
      </w:p>
    </w:sdtContent>
  </w:sdt>
  <w:p w14:paraId="401E29F2" w14:textId="77777777" w:rsidR="00BE30F0" w:rsidRDefault="00BE30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691B" w14:textId="77777777" w:rsidR="002E00F8" w:rsidRDefault="002E00F8" w:rsidP="007C475B">
      <w:pPr>
        <w:spacing w:after="0" w:line="240" w:lineRule="auto"/>
      </w:pPr>
      <w:r>
        <w:separator/>
      </w:r>
    </w:p>
  </w:footnote>
  <w:footnote w:type="continuationSeparator" w:id="0">
    <w:p w14:paraId="57A40974" w14:textId="77777777" w:rsidR="002E00F8" w:rsidRDefault="002E00F8" w:rsidP="007C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352"/>
    <w:multiLevelType w:val="hybridMultilevel"/>
    <w:tmpl w:val="8A80F9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AD5907"/>
    <w:multiLevelType w:val="hybridMultilevel"/>
    <w:tmpl w:val="5D74B9DE"/>
    <w:lvl w:ilvl="0" w:tplc="0407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8E1342E"/>
    <w:multiLevelType w:val="multilevel"/>
    <w:tmpl w:val="58169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1451242"/>
    <w:multiLevelType w:val="hybridMultilevel"/>
    <w:tmpl w:val="C1DC91C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</w:abstractNum>
  <w:abstractNum w:abstractNumId="4">
    <w:nsid w:val="21CD6E64"/>
    <w:multiLevelType w:val="hybridMultilevel"/>
    <w:tmpl w:val="ECB0BD46"/>
    <w:lvl w:ilvl="0" w:tplc="AA589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20AC1"/>
    <w:multiLevelType w:val="hybridMultilevel"/>
    <w:tmpl w:val="9E12A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5283B"/>
    <w:multiLevelType w:val="hybridMultilevel"/>
    <w:tmpl w:val="C70A4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A648C"/>
    <w:multiLevelType w:val="multilevel"/>
    <w:tmpl w:val="58169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30A106F"/>
    <w:multiLevelType w:val="multilevel"/>
    <w:tmpl w:val="5656AC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37050A4"/>
    <w:multiLevelType w:val="hybridMultilevel"/>
    <w:tmpl w:val="BAD64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F340B"/>
    <w:multiLevelType w:val="hybridMultilevel"/>
    <w:tmpl w:val="7C52D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571E6"/>
    <w:multiLevelType w:val="hybridMultilevel"/>
    <w:tmpl w:val="9A5ADA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000179"/>
    <w:multiLevelType w:val="hybridMultilevel"/>
    <w:tmpl w:val="62560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C2753"/>
    <w:multiLevelType w:val="hybridMultilevel"/>
    <w:tmpl w:val="CE5C17C2"/>
    <w:lvl w:ilvl="0" w:tplc="AE405D06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>
    <w:nsid w:val="5F86734F"/>
    <w:multiLevelType w:val="hybridMultilevel"/>
    <w:tmpl w:val="343EB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97644"/>
    <w:multiLevelType w:val="hybridMultilevel"/>
    <w:tmpl w:val="9E300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540E6"/>
    <w:multiLevelType w:val="hybridMultilevel"/>
    <w:tmpl w:val="F9D03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336B0"/>
    <w:multiLevelType w:val="hybridMultilevel"/>
    <w:tmpl w:val="9E3A815C"/>
    <w:lvl w:ilvl="0" w:tplc="4B8A584C">
      <w:numFmt w:val="bullet"/>
      <w:lvlText w:val="-"/>
      <w:lvlJc w:val="left"/>
      <w:pPr>
        <w:ind w:left="360" w:hanging="360"/>
      </w:pPr>
      <w:rPr>
        <w:rFonts w:ascii="Times New Roman" w:eastAsia="Wingding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A870F1"/>
    <w:multiLevelType w:val="hybridMultilevel"/>
    <w:tmpl w:val="3A0AE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3733F"/>
    <w:multiLevelType w:val="hybridMultilevel"/>
    <w:tmpl w:val="9E1C2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8"/>
  </w:num>
  <w:num w:numId="13">
    <w:abstractNumId w:val="14"/>
  </w:num>
  <w:num w:numId="14">
    <w:abstractNumId w:val="6"/>
  </w:num>
  <w:num w:numId="15">
    <w:abstractNumId w:val="20"/>
  </w:num>
  <w:num w:numId="16">
    <w:abstractNumId w:val="15"/>
  </w:num>
  <w:num w:numId="17">
    <w:abstractNumId w:val="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18"/>
  </w:num>
  <w:num w:numId="22">
    <w:abstractNumId w:val="11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0"/>
  </w:num>
  <w:num w:numId="30">
    <w:abstractNumId w:val="17"/>
  </w:num>
  <w:num w:numId="31">
    <w:abstractNumId w:val="17"/>
  </w:num>
  <w:num w:numId="32">
    <w:abstractNumId w:val="17"/>
  </w:num>
  <w:num w:numId="33">
    <w:abstractNumId w:val="4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A6"/>
    <w:rsid w:val="00001231"/>
    <w:rsid w:val="000026C0"/>
    <w:rsid w:val="000070F1"/>
    <w:rsid w:val="000213D9"/>
    <w:rsid w:val="000247A9"/>
    <w:rsid w:val="000254CD"/>
    <w:rsid w:val="000326E0"/>
    <w:rsid w:val="000357C9"/>
    <w:rsid w:val="00062A46"/>
    <w:rsid w:val="00066905"/>
    <w:rsid w:val="00067774"/>
    <w:rsid w:val="00075959"/>
    <w:rsid w:val="000766B6"/>
    <w:rsid w:val="00080E21"/>
    <w:rsid w:val="00081CE3"/>
    <w:rsid w:val="0008287F"/>
    <w:rsid w:val="00091FCE"/>
    <w:rsid w:val="000B00C0"/>
    <w:rsid w:val="000B75FD"/>
    <w:rsid w:val="000C0948"/>
    <w:rsid w:val="000D0161"/>
    <w:rsid w:val="000E07DB"/>
    <w:rsid w:val="000E67D5"/>
    <w:rsid w:val="000F0998"/>
    <w:rsid w:val="000F177C"/>
    <w:rsid w:val="000F353E"/>
    <w:rsid w:val="000F4498"/>
    <w:rsid w:val="001168BA"/>
    <w:rsid w:val="001221F1"/>
    <w:rsid w:val="00142CF0"/>
    <w:rsid w:val="00154432"/>
    <w:rsid w:val="00160979"/>
    <w:rsid w:val="0019260A"/>
    <w:rsid w:val="001A26B3"/>
    <w:rsid w:val="001B293D"/>
    <w:rsid w:val="001B75B0"/>
    <w:rsid w:val="001D2728"/>
    <w:rsid w:val="001D5F7A"/>
    <w:rsid w:val="001E6559"/>
    <w:rsid w:val="001F16DE"/>
    <w:rsid w:val="00202431"/>
    <w:rsid w:val="00214804"/>
    <w:rsid w:val="002173C5"/>
    <w:rsid w:val="00220A53"/>
    <w:rsid w:val="002366C6"/>
    <w:rsid w:val="00237DEC"/>
    <w:rsid w:val="0024070E"/>
    <w:rsid w:val="00256008"/>
    <w:rsid w:val="00261D4A"/>
    <w:rsid w:val="00262FA3"/>
    <w:rsid w:val="002666B0"/>
    <w:rsid w:val="00280236"/>
    <w:rsid w:val="00283C85"/>
    <w:rsid w:val="00292005"/>
    <w:rsid w:val="002A02B6"/>
    <w:rsid w:val="002A19E7"/>
    <w:rsid w:val="002A1E55"/>
    <w:rsid w:val="002B70A8"/>
    <w:rsid w:val="002C1926"/>
    <w:rsid w:val="002C227E"/>
    <w:rsid w:val="002C2917"/>
    <w:rsid w:val="002C2E96"/>
    <w:rsid w:val="002C385C"/>
    <w:rsid w:val="002C5E47"/>
    <w:rsid w:val="002C6708"/>
    <w:rsid w:val="002D3A3A"/>
    <w:rsid w:val="002D405B"/>
    <w:rsid w:val="002D48A3"/>
    <w:rsid w:val="002D5FEF"/>
    <w:rsid w:val="002E00F8"/>
    <w:rsid w:val="002E7FD3"/>
    <w:rsid w:val="002F28F0"/>
    <w:rsid w:val="00301A16"/>
    <w:rsid w:val="00302565"/>
    <w:rsid w:val="00302D76"/>
    <w:rsid w:val="0032067C"/>
    <w:rsid w:val="00324407"/>
    <w:rsid w:val="0032710E"/>
    <w:rsid w:val="00327B7C"/>
    <w:rsid w:val="003433EF"/>
    <w:rsid w:val="00345DBA"/>
    <w:rsid w:val="00346C35"/>
    <w:rsid w:val="00347477"/>
    <w:rsid w:val="00357BAD"/>
    <w:rsid w:val="003644D8"/>
    <w:rsid w:val="003747D5"/>
    <w:rsid w:val="003774F7"/>
    <w:rsid w:val="003853F7"/>
    <w:rsid w:val="00391E14"/>
    <w:rsid w:val="00394E68"/>
    <w:rsid w:val="00395007"/>
    <w:rsid w:val="003A5E96"/>
    <w:rsid w:val="003B518E"/>
    <w:rsid w:val="003C25B1"/>
    <w:rsid w:val="003C7B8B"/>
    <w:rsid w:val="003D5CCA"/>
    <w:rsid w:val="003E0354"/>
    <w:rsid w:val="003F1378"/>
    <w:rsid w:val="003F2F00"/>
    <w:rsid w:val="003F5648"/>
    <w:rsid w:val="003F7045"/>
    <w:rsid w:val="00401AB7"/>
    <w:rsid w:val="00423ABB"/>
    <w:rsid w:val="00426060"/>
    <w:rsid w:val="00430BF6"/>
    <w:rsid w:val="00433096"/>
    <w:rsid w:val="004361AA"/>
    <w:rsid w:val="0044427B"/>
    <w:rsid w:val="004450D2"/>
    <w:rsid w:val="00447028"/>
    <w:rsid w:val="004541F5"/>
    <w:rsid w:val="00455D34"/>
    <w:rsid w:val="00460032"/>
    <w:rsid w:val="0046047D"/>
    <w:rsid w:val="00470BE4"/>
    <w:rsid w:val="00474D91"/>
    <w:rsid w:val="00486626"/>
    <w:rsid w:val="00491F9E"/>
    <w:rsid w:val="004B6D41"/>
    <w:rsid w:val="004C25BC"/>
    <w:rsid w:val="004C65E0"/>
    <w:rsid w:val="004E5343"/>
    <w:rsid w:val="004E61C9"/>
    <w:rsid w:val="004E7B3F"/>
    <w:rsid w:val="004F153E"/>
    <w:rsid w:val="004F1A82"/>
    <w:rsid w:val="004F4DA1"/>
    <w:rsid w:val="00503366"/>
    <w:rsid w:val="0050454A"/>
    <w:rsid w:val="0051005A"/>
    <w:rsid w:val="005158B6"/>
    <w:rsid w:val="005210EF"/>
    <w:rsid w:val="00544594"/>
    <w:rsid w:val="00552442"/>
    <w:rsid w:val="00553BE6"/>
    <w:rsid w:val="0055721E"/>
    <w:rsid w:val="005653FC"/>
    <w:rsid w:val="00567B66"/>
    <w:rsid w:val="00572C11"/>
    <w:rsid w:val="00574A32"/>
    <w:rsid w:val="00587FB9"/>
    <w:rsid w:val="005924F2"/>
    <w:rsid w:val="005A1924"/>
    <w:rsid w:val="005A1978"/>
    <w:rsid w:val="005A59EB"/>
    <w:rsid w:val="005A6FA6"/>
    <w:rsid w:val="005B572F"/>
    <w:rsid w:val="005C266A"/>
    <w:rsid w:val="005C6319"/>
    <w:rsid w:val="005C6AF3"/>
    <w:rsid w:val="005E5337"/>
    <w:rsid w:val="005F1468"/>
    <w:rsid w:val="005F6D25"/>
    <w:rsid w:val="00606426"/>
    <w:rsid w:val="00612D3F"/>
    <w:rsid w:val="00615AE1"/>
    <w:rsid w:val="00615B4A"/>
    <w:rsid w:val="006179C9"/>
    <w:rsid w:val="00617B09"/>
    <w:rsid w:val="00627509"/>
    <w:rsid w:val="00632440"/>
    <w:rsid w:val="006324A8"/>
    <w:rsid w:val="00632F1F"/>
    <w:rsid w:val="00633F4E"/>
    <w:rsid w:val="006419F2"/>
    <w:rsid w:val="00647E80"/>
    <w:rsid w:val="00651844"/>
    <w:rsid w:val="006542CA"/>
    <w:rsid w:val="00656922"/>
    <w:rsid w:val="006579D0"/>
    <w:rsid w:val="00657F1F"/>
    <w:rsid w:val="00664073"/>
    <w:rsid w:val="00664864"/>
    <w:rsid w:val="006670FC"/>
    <w:rsid w:val="006766FC"/>
    <w:rsid w:val="0068361F"/>
    <w:rsid w:val="00690543"/>
    <w:rsid w:val="00697C8B"/>
    <w:rsid w:val="006A28CC"/>
    <w:rsid w:val="006C3FD7"/>
    <w:rsid w:val="006E16D9"/>
    <w:rsid w:val="006F1B38"/>
    <w:rsid w:val="006F29B4"/>
    <w:rsid w:val="006F5E8B"/>
    <w:rsid w:val="007005DB"/>
    <w:rsid w:val="00704F8E"/>
    <w:rsid w:val="007070CA"/>
    <w:rsid w:val="0071184B"/>
    <w:rsid w:val="007145F0"/>
    <w:rsid w:val="00716960"/>
    <w:rsid w:val="00722957"/>
    <w:rsid w:val="0072627C"/>
    <w:rsid w:val="00750867"/>
    <w:rsid w:val="007569A9"/>
    <w:rsid w:val="00767035"/>
    <w:rsid w:val="007872F0"/>
    <w:rsid w:val="00790854"/>
    <w:rsid w:val="007A14C4"/>
    <w:rsid w:val="007A2EC2"/>
    <w:rsid w:val="007A33D7"/>
    <w:rsid w:val="007A4EAD"/>
    <w:rsid w:val="007B105A"/>
    <w:rsid w:val="007C066C"/>
    <w:rsid w:val="007C2E7B"/>
    <w:rsid w:val="007C475B"/>
    <w:rsid w:val="007C5803"/>
    <w:rsid w:val="007D4F78"/>
    <w:rsid w:val="007E3C34"/>
    <w:rsid w:val="007E4D0C"/>
    <w:rsid w:val="007F0CB2"/>
    <w:rsid w:val="007F6388"/>
    <w:rsid w:val="00807572"/>
    <w:rsid w:val="00807678"/>
    <w:rsid w:val="00825413"/>
    <w:rsid w:val="00844C5A"/>
    <w:rsid w:val="008509C0"/>
    <w:rsid w:val="00852C5E"/>
    <w:rsid w:val="008569A9"/>
    <w:rsid w:val="008954A8"/>
    <w:rsid w:val="008962A6"/>
    <w:rsid w:val="00897A50"/>
    <w:rsid w:val="008B3C41"/>
    <w:rsid w:val="008B43EC"/>
    <w:rsid w:val="008C07FA"/>
    <w:rsid w:val="008C0B95"/>
    <w:rsid w:val="008C163D"/>
    <w:rsid w:val="008C7107"/>
    <w:rsid w:val="008E0DC1"/>
    <w:rsid w:val="008F3C9B"/>
    <w:rsid w:val="008F56B5"/>
    <w:rsid w:val="008F5E96"/>
    <w:rsid w:val="0090332C"/>
    <w:rsid w:val="0090419E"/>
    <w:rsid w:val="009237EE"/>
    <w:rsid w:val="009238CC"/>
    <w:rsid w:val="00925EBC"/>
    <w:rsid w:val="0093624A"/>
    <w:rsid w:val="0094208F"/>
    <w:rsid w:val="00943420"/>
    <w:rsid w:val="009439F4"/>
    <w:rsid w:val="0094480C"/>
    <w:rsid w:val="00947C7A"/>
    <w:rsid w:val="00955E10"/>
    <w:rsid w:val="00960E6F"/>
    <w:rsid w:val="00974BA6"/>
    <w:rsid w:val="00976374"/>
    <w:rsid w:val="0098118B"/>
    <w:rsid w:val="00985665"/>
    <w:rsid w:val="00995AB8"/>
    <w:rsid w:val="009A7887"/>
    <w:rsid w:val="009C2D05"/>
    <w:rsid w:val="009C3BBD"/>
    <w:rsid w:val="009D2AA5"/>
    <w:rsid w:val="009D5136"/>
    <w:rsid w:val="009E3984"/>
    <w:rsid w:val="009E5847"/>
    <w:rsid w:val="009F6FBF"/>
    <w:rsid w:val="00A03D76"/>
    <w:rsid w:val="00A10311"/>
    <w:rsid w:val="00A10D31"/>
    <w:rsid w:val="00A142AB"/>
    <w:rsid w:val="00A21AD5"/>
    <w:rsid w:val="00A2356D"/>
    <w:rsid w:val="00A27726"/>
    <w:rsid w:val="00A31819"/>
    <w:rsid w:val="00A344D7"/>
    <w:rsid w:val="00A375FE"/>
    <w:rsid w:val="00A43B27"/>
    <w:rsid w:val="00A63656"/>
    <w:rsid w:val="00A64069"/>
    <w:rsid w:val="00A65350"/>
    <w:rsid w:val="00A77CDF"/>
    <w:rsid w:val="00A81638"/>
    <w:rsid w:val="00A85113"/>
    <w:rsid w:val="00A92379"/>
    <w:rsid w:val="00AA6907"/>
    <w:rsid w:val="00AA6D57"/>
    <w:rsid w:val="00AA7B12"/>
    <w:rsid w:val="00AC3E2E"/>
    <w:rsid w:val="00AE4305"/>
    <w:rsid w:val="00AE4BDB"/>
    <w:rsid w:val="00AE4FDF"/>
    <w:rsid w:val="00AF25FC"/>
    <w:rsid w:val="00B03E76"/>
    <w:rsid w:val="00B04DE1"/>
    <w:rsid w:val="00B108C4"/>
    <w:rsid w:val="00B2652F"/>
    <w:rsid w:val="00B27DEF"/>
    <w:rsid w:val="00B3264F"/>
    <w:rsid w:val="00B33915"/>
    <w:rsid w:val="00B3478F"/>
    <w:rsid w:val="00B40B53"/>
    <w:rsid w:val="00B5702F"/>
    <w:rsid w:val="00B577F4"/>
    <w:rsid w:val="00B6356F"/>
    <w:rsid w:val="00B63CFE"/>
    <w:rsid w:val="00B84C6D"/>
    <w:rsid w:val="00B85F38"/>
    <w:rsid w:val="00B874CE"/>
    <w:rsid w:val="00BB7813"/>
    <w:rsid w:val="00BC1F24"/>
    <w:rsid w:val="00BC23E5"/>
    <w:rsid w:val="00BC36F8"/>
    <w:rsid w:val="00BC38C1"/>
    <w:rsid w:val="00BC596E"/>
    <w:rsid w:val="00BC6CB5"/>
    <w:rsid w:val="00BD2014"/>
    <w:rsid w:val="00BD33B4"/>
    <w:rsid w:val="00BD75BB"/>
    <w:rsid w:val="00BE1E3D"/>
    <w:rsid w:val="00BE2261"/>
    <w:rsid w:val="00BE30F0"/>
    <w:rsid w:val="00BE3E56"/>
    <w:rsid w:val="00C0318D"/>
    <w:rsid w:val="00C11916"/>
    <w:rsid w:val="00C208A4"/>
    <w:rsid w:val="00C2105B"/>
    <w:rsid w:val="00C2448E"/>
    <w:rsid w:val="00C252B7"/>
    <w:rsid w:val="00C25853"/>
    <w:rsid w:val="00C270A7"/>
    <w:rsid w:val="00C329AE"/>
    <w:rsid w:val="00C36EBA"/>
    <w:rsid w:val="00C373D4"/>
    <w:rsid w:val="00C41F98"/>
    <w:rsid w:val="00C43441"/>
    <w:rsid w:val="00C47C3A"/>
    <w:rsid w:val="00C61A55"/>
    <w:rsid w:val="00C65B96"/>
    <w:rsid w:val="00C71CD4"/>
    <w:rsid w:val="00C71E0A"/>
    <w:rsid w:val="00C75166"/>
    <w:rsid w:val="00CA0429"/>
    <w:rsid w:val="00CA3252"/>
    <w:rsid w:val="00CA66B3"/>
    <w:rsid w:val="00CA759A"/>
    <w:rsid w:val="00CB2664"/>
    <w:rsid w:val="00CB35D6"/>
    <w:rsid w:val="00CC1A7F"/>
    <w:rsid w:val="00CD4C47"/>
    <w:rsid w:val="00CD7B63"/>
    <w:rsid w:val="00D01490"/>
    <w:rsid w:val="00D03415"/>
    <w:rsid w:val="00D136BC"/>
    <w:rsid w:val="00D1487D"/>
    <w:rsid w:val="00D201BC"/>
    <w:rsid w:val="00D21C3E"/>
    <w:rsid w:val="00D347E2"/>
    <w:rsid w:val="00D465B7"/>
    <w:rsid w:val="00D47F0C"/>
    <w:rsid w:val="00D53248"/>
    <w:rsid w:val="00D63679"/>
    <w:rsid w:val="00D63CB5"/>
    <w:rsid w:val="00D702A6"/>
    <w:rsid w:val="00D7600C"/>
    <w:rsid w:val="00D9506B"/>
    <w:rsid w:val="00D975C5"/>
    <w:rsid w:val="00D97B14"/>
    <w:rsid w:val="00D97E5B"/>
    <w:rsid w:val="00DA1C52"/>
    <w:rsid w:val="00DA20B4"/>
    <w:rsid w:val="00DA4F27"/>
    <w:rsid w:val="00DA7201"/>
    <w:rsid w:val="00DB1905"/>
    <w:rsid w:val="00DB44B2"/>
    <w:rsid w:val="00DB49B0"/>
    <w:rsid w:val="00DB5BCC"/>
    <w:rsid w:val="00DC43D2"/>
    <w:rsid w:val="00DD00F4"/>
    <w:rsid w:val="00DD1C05"/>
    <w:rsid w:val="00DD1ED9"/>
    <w:rsid w:val="00DE14C5"/>
    <w:rsid w:val="00DE44BB"/>
    <w:rsid w:val="00DE5224"/>
    <w:rsid w:val="00DE5616"/>
    <w:rsid w:val="00DF1327"/>
    <w:rsid w:val="00DF28CE"/>
    <w:rsid w:val="00DF4573"/>
    <w:rsid w:val="00DF6B95"/>
    <w:rsid w:val="00DF793C"/>
    <w:rsid w:val="00E04419"/>
    <w:rsid w:val="00E1134C"/>
    <w:rsid w:val="00E14992"/>
    <w:rsid w:val="00E163A8"/>
    <w:rsid w:val="00E2559A"/>
    <w:rsid w:val="00E25EAD"/>
    <w:rsid w:val="00E31CDD"/>
    <w:rsid w:val="00E36D4A"/>
    <w:rsid w:val="00E44D16"/>
    <w:rsid w:val="00E44F32"/>
    <w:rsid w:val="00E472CC"/>
    <w:rsid w:val="00E53BFC"/>
    <w:rsid w:val="00E57ED7"/>
    <w:rsid w:val="00E637FC"/>
    <w:rsid w:val="00E6756B"/>
    <w:rsid w:val="00E86B81"/>
    <w:rsid w:val="00EA3489"/>
    <w:rsid w:val="00EA49CE"/>
    <w:rsid w:val="00EA6E43"/>
    <w:rsid w:val="00EA7271"/>
    <w:rsid w:val="00EB15A5"/>
    <w:rsid w:val="00EC030B"/>
    <w:rsid w:val="00EC1F53"/>
    <w:rsid w:val="00EC3B6F"/>
    <w:rsid w:val="00EC6AE4"/>
    <w:rsid w:val="00ED29B2"/>
    <w:rsid w:val="00ED3C17"/>
    <w:rsid w:val="00ED4BEB"/>
    <w:rsid w:val="00ED7319"/>
    <w:rsid w:val="00EE4969"/>
    <w:rsid w:val="00EE6D9A"/>
    <w:rsid w:val="00EF0B8E"/>
    <w:rsid w:val="00EF1547"/>
    <w:rsid w:val="00EF37BF"/>
    <w:rsid w:val="00EF512A"/>
    <w:rsid w:val="00F07930"/>
    <w:rsid w:val="00F22ACD"/>
    <w:rsid w:val="00F22EAA"/>
    <w:rsid w:val="00F2504E"/>
    <w:rsid w:val="00F32DAB"/>
    <w:rsid w:val="00F52296"/>
    <w:rsid w:val="00F5418D"/>
    <w:rsid w:val="00F57570"/>
    <w:rsid w:val="00F61D28"/>
    <w:rsid w:val="00F748D8"/>
    <w:rsid w:val="00F8676D"/>
    <w:rsid w:val="00F904C4"/>
    <w:rsid w:val="00FA378E"/>
    <w:rsid w:val="00FA3805"/>
    <w:rsid w:val="00FB67E5"/>
    <w:rsid w:val="00FC0315"/>
    <w:rsid w:val="00FE16F4"/>
    <w:rsid w:val="00FF2083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72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6D4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6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4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02A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02A6"/>
    <w:pPr>
      <w:numPr>
        <w:numId w:val="1"/>
      </w:numPr>
      <w:contextualSpacing/>
      <w:jc w:val="both"/>
    </w:pPr>
  </w:style>
  <w:style w:type="character" w:styleId="Kommentarzeichen">
    <w:name w:val="annotation reference"/>
    <w:basedOn w:val="Absatz-Standardschriftart"/>
    <w:semiHidden/>
    <w:unhideWhenUsed/>
    <w:rsid w:val="002C227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C22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C22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2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2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27E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26E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3853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6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3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6907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475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unotentext">
    <w:name w:val="footnote text"/>
    <w:basedOn w:val="Standard"/>
    <w:link w:val="FunotentextZchn"/>
    <w:uiPriority w:val="99"/>
    <w:unhideWhenUsed/>
    <w:rsid w:val="007C475B"/>
    <w:pPr>
      <w:spacing w:after="0" w:line="240" w:lineRule="auto"/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C475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475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A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6FA6"/>
  </w:style>
  <w:style w:type="paragraph" w:styleId="Fuzeile">
    <w:name w:val="footer"/>
    <w:basedOn w:val="Standard"/>
    <w:link w:val="FuzeileZchn"/>
    <w:uiPriority w:val="99"/>
    <w:unhideWhenUsed/>
    <w:rsid w:val="005A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6FA6"/>
  </w:style>
  <w:style w:type="paragraph" w:customStyle="1" w:styleId="ListenabsatzSpiegelstriche">
    <w:name w:val="Listenabsatz_Spiegelstriche"/>
    <w:basedOn w:val="Standard"/>
    <w:qFormat/>
    <w:rsid w:val="00F2504E"/>
    <w:pPr>
      <w:spacing w:before="60" w:after="60" w:line="240" w:lineRule="auto"/>
      <w:ind w:left="170" w:hanging="170"/>
    </w:pPr>
    <w:rPr>
      <w:rFonts w:eastAsia="Times New Roman" w:cs="Arial"/>
      <w:lang w:eastAsia="de-DE"/>
    </w:rPr>
  </w:style>
  <w:style w:type="character" w:customStyle="1" w:styleId="fontstyle01">
    <w:name w:val="fontstyle01"/>
    <w:basedOn w:val="Absatz-Standardschriftart"/>
    <w:rsid w:val="00E57ED7"/>
    <w:rPr>
      <w:rFonts w:ascii="Eurostile" w:hAnsi="Eurostile" w:hint="default"/>
      <w:b w:val="0"/>
      <w:bCs w:val="0"/>
      <w:i w:val="0"/>
      <w:iCs w:val="0"/>
      <w:color w:val="2420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6D4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6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4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02A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02A6"/>
    <w:pPr>
      <w:numPr>
        <w:numId w:val="1"/>
      </w:numPr>
      <w:contextualSpacing/>
      <w:jc w:val="both"/>
    </w:pPr>
  </w:style>
  <w:style w:type="character" w:styleId="Kommentarzeichen">
    <w:name w:val="annotation reference"/>
    <w:basedOn w:val="Absatz-Standardschriftart"/>
    <w:semiHidden/>
    <w:unhideWhenUsed/>
    <w:rsid w:val="002C227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C22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C22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2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2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27E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26E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3853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6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3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6907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475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unotentext">
    <w:name w:val="footnote text"/>
    <w:basedOn w:val="Standard"/>
    <w:link w:val="FunotentextZchn"/>
    <w:uiPriority w:val="99"/>
    <w:unhideWhenUsed/>
    <w:rsid w:val="007C475B"/>
    <w:pPr>
      <w:spacing w:after="0" w:line="240" w:lineRule="auto"/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C475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475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A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6FA6"/>
  </w:style>
  <w:style w:type="paragraph" w:styleId="Fuzeile">
    <w:name w:val="footer"/>
    <w:basedOn w:val="Standard"/>
    <w:link w:val="FuzeileZchn"/>
    <w:uiPriority w:val="99"/>
    <w:unhideWhenUsed/>
    <w:rsid w:val="005A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6FA6"/>
  </w:style>
  <w:style w:type="paragraph" w:customStyle="1" w:styleId="ListenabsatzSpiegelstriche">
    <w:name w:val="Listenabsatz_Spiegelstriche"/>
    <w:basedOn w:val="Standard"/>
    <w:qFormat/>
    <w:rsid w:val="00F2504E"/>
    <w:pPr>
      <w:spacing w:before="60" w:after="60" w:line="240" w:lineRule="auto"/>
      <w:ind w:left="170" w:hanging="170"/>
    </w:pPr>
    <w:rPr>
      <w:rFonts w:eastAsia="Times New Roman" w:cs="Arial"/>
      <w:lang w:eastAsia="de-DE"/>
    </w:rPr>
  </w:style>
  <w:style w:type="character" w:customStyle="1" w:styleId="fontstyle01">
    <w:name w:val="fontstyle01"/>
    <w:basedOn w:val="Absatz-Standardschriftart"/>
    <w:rsid w:val="00E57ED7"/>
    <w:rPr>
      <w:rFonts w:ascii="Eurostile" w:hAnsi="Eurostile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zga.de/infomaterialien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ABEE-4005-414E-8F54-81468979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3342A5F2.dotm</Template>
  <TotalTime>0</TotalTime>
  <Pages>4</Pages>
  <Words>846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</dc:creator>
  <cp:lastModifiedBy>Karow-Hanschke, Diana</cp:lastModifiedBy>
  <cp:revision>7</cp:revision>
  <cp:lastPrinted>2019-04-30T19:19:00Z</cp:lastPrinted>
  <dcterms:created xsi:type="dcterms:W3CDTF">2019-06-04T16:37:00Z</dcterms:created>
  <dcterms:modified xsi:type="dcterms:W3CDTF">2019-06-05T11:30:00Z</dcterms:modified>
</cp:coreProperties>
</file>