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32628" w14:textId="77777777" w:rsidR="008C0A83" w:rsidRDefault="003C0343" w:rsidP="003C0343">
      <w:pPr>
        <w:spacing w:after="0"/>
        <w:rPr>
          <w:b/>
          <w:color w:val="FF0000"/>
          <w:sz w:val="24"/>
        </w:rPr>
      </w:pPr>
      <w:r w:rsidRPr="00516D54">
        <w:rPr>
          <w:b/>
          <w:color w:val="FF0000"/>
          <w:sz w:val="24"/>
        </w:rPr>
        <w:t xml:space="preserve">L </w:t>
      </w:r>
      <w:r w:rsidR="008C0A83">
        <w:rPr>
          <w:b/>
          <w:color w:val="FF0000"/>
          <w:sz w:val="24"/>
        </w:rPr>
        <w:t>4 a Text und Konsequenzen:</w:t>
      </w:r>
    </w:p>
    <w:p w14:paraId="72A6DF38" w14:textId="5CFB8148" w:rsidR="003C0343" w:rsidRPr="008A749C" w:rsidRDefault="003C0343" w:rsidP="003C0343">
      <w:pPr>
        <w:spacing w:after="0"/>
        <w:rPr>
          <w:b/>
          <w:sz w:val="24"/>
        </w:rPr>
      </w:pPr>
      <w:r>
        <w:rPr>
          <w:b/>
          <w:sz w:val="24"/>
        </w:rPr>
        <w:t>Erkenntnisse zum</w:t>
      </w:r>
      <w:r w:rsidRPr="008A749C">
        <w:rPr>
          <w:b/>
          <w:sz w:val="24"/>
        </w:rPr>
        <w:t xml:space="preserve"> Einsatz digitaler Medien </w:t>
      </w:r>
      <w:r>
        <w:rPr>
          <w:b/>
          <w:sz w:val="24"/>
        </w:rPr>
        <w:t>im Sportunterricht</w:t>
      </w:r>
    </w:p>
    <w:p w14:paraId="06CE6168" w14:textId="77777777" w:rsidR="003C0343" w:rsidRDefault="003C0343" w:rsidP="003C0343"/>
    <w:p w14:paraId="367B8236" w14:textId="09CB5C2C" w:rsidR="003C0343" w:rsidRDefault="003C0343" w:rsidP="003C0343">
      <w:pPr>
        <w:jc w:val="both"/>
      </w:pPr>
      <w:r w:rsidRPr="008A749C">
        <w:rPr>
          <w:b/>
        </w:rPr>
        <w:t>Sportunterricht</w:t>
      </w:r>
      <w:r>
        <w:t xml:space="preserve"> </w:t>
      </w:r>
      <w:r w:rsidRPr="008A749C">
        <w:rPr>
          <w:b/>
        </w:rPr>
        <w:t>ist</w:t>
      </w:r>
      <w:r>
        <w:t xml:space="preserve"> </w:t>
      </w:r>
      <w:r w:rsidRPr="008A749C">
        <w:rPr>
          <w:b/>
        </w:rPr>
        <w:t>Bewegungszeit</w:t>
      </w:r>
      <w:r>
        <w:t xml:space="preserve"> – und das soll auch so bleibe</w:t>
      </w:r>
      <w:r w:rsidR="007527CB">
        <w:t>n</w:t>
      </w:r>
      <w:r w:rsidR="004A2CD5">
        <w:t>. Im</w:t>
      </w:r>
      <w:r>
        <w:t xml:space="preserve"> erziehenden Sportunterricht </w:t>
      </w:r>
      <w:r w:rsidR="004A2CD5">
        <w:t xml:space="preserve">geht es </w:t>
      </w:r>
      <w:r>
        <w:t>immer in erster Linie um die eigene Bewegung und Körpererfahrung in unterschiedlichen Bewegungsfeldern</w:t>
      </w:r>
      <w:r w:rsidR="004A2CD5">
        <w:t xml:space="preserve"> bei wechselnden </w:t>
      </w:r>
      <w:r>
        <w:t>Perspektiven und Sinngebungen. Damit bildet die Bewegungs- und Wahrnehmungskompetenz die Basis jeder sportlichen Handlungskompetenz.</w:t>
      </w:r>
    </w:p>
    <w:p w14:paraId="3B3F2AA2" w14:textId="79D65074" w:rsidR="003C0343" w:rsidRDefault="003C0343" w:rsidP="003C0343">
      <w:pPr>
        <w:jc w:val="both"/>
      </w:pPr>
      <w:r>
        <w:t>In Verbindung mit dem motorischen Lernen geht es immer auch um Kenntnisse, Methoden und Einschätzungen. Auf der Ebene der</w:t>
      </w:r>
      <w:r w:rsidRPr="009116FC">
        <w:t xml:space="preserve"> Inhaltsfelder </w:t>
      </w:r>
      <w:r>
        <w:t xml:space="preserve">sind </w:t>
      </w:r>
      <w:r w:rsidR="002B6C99">
        <w:t xml:space="preserve">auch </w:t>
      </w:r>
      <w:r w:rsidRPr="009116FC">
        <w:t>Kompetenzerwartungen</w:t>
      </w:r>
      <w:r>
        <w:t xml:space="preserve"> </w:t>
      </w:r>
      <w:r w:rsidR="004A2CD5">
        <w:t>im Blick auf</w:t>
      </w:r>
      <w:r>
        <w:t xml:space="preserve"> </w:t>
      </w:r>
      <w:r w:rsidR="007527CB">
        <w:t xml:space="preserve">den Einsatz </w:t>
      </w:r>
      <w:r>
        <w:t>digitale</w:t>
      </w:r>
      <w:r w:rsidR="007527CB">
        <w:t>r</w:t>
      </w:r>
      <w:r>
        <w:t xml:space="preserve"> Medien </w:t>
      </w:r>
      <w:r w:rsidRPr="009116FC">
        <w:t>formuliert</w:t>
      </w:r>
      <w:r>
        <w:t xml:space="preserve">. </w:t>
      </w:r>
      <w:r w:rsidR="007527CB">
        <w:t xml:space="preserve">So fordert der KLP beispielsweise „analoge und digitale Medien zur Bewegungsanalyse und Unterstützung motorischer Lern- und Übungsprozesse zielorientiert“ einzusetzen.  </w:t>
      </w:r>
      <w:r w:rsidR="007512DD">
        <w:t xml:space="preserve">Es geht </w:t>
      </w:r>
      <w:r w:rsidR="007527CB">
        <w:t>in diesem Kontext um die Ausbildung einer Methodenkompetenz</w:t>
      </w:r>
      <w:r w:rsidR="00B13514">
        <w:t>,</w:t>
      </w:r>
      <w:r w:rsidR="007527CB">
        <w:t xml:space="preserve"> </w:t>
      </w:r>
      <w:r w:rsidR="00B13514">
        <w:t>g</w:t>
      </w:r>
      <w:r w:rsidR="007527CB">
        <w:t xml:space="preserve">leichzeitig ist im Sinne des MKR eine </w:t>
      </w:r>
      <w:r w:rsidR="002B6C99">
        <w:t>Medienk</w:t>
      </w:r>
      <w:r w:rsidR="007527CB">
        <w:t>ompetenz angestrebt</w:t>
      </w:r>
      <w:r w:rsidR="002B6C99">
        <w:t xml:space="preserve"> (vgl. hier auch den MKR)</w:t>
      </w:r>
    </w:p>
    <w:p w14:paraId="01535A9A" w14:textId="6B83F26C" w:rsidR="003C0343" w:rsidRDefault="003C0343" w:rsidP="003C0343">
      <w:pPr>
        <w:jc w:val="both"/>
      </w:pPr>
      <w:r>
        <w:t xml:space="preserve">Der </w:t>
      </w:r>
      <w:r w:rsidRPr="0089691B">
        <w:rPr>
          <w:b/>
          <w:bCs/>
        </w:rPr>
        <w:t>Einsatz digitaler Medien</w:t>
      </w:r>
      <w:r>
        <w:t xml:space="preserve"> verspricht grundsätzlich vielfachen </w:t>
      </w:r>
      <w:r w:rsidRPr="00246976">
        <w:rPr>
          <w:b/>
          <w:bCs/>
        </w:rPr>
        <w:t>Gewinn</w:t>
      </w:r>
      <w:r>
        <w:t xml:space="preserve">: Sportlehrkräfte können bei der Planung </w:t>
      </w:r>
      <w:r w:rsidR="008C0A83">
        <w:t>(</w:t>
      </w:r>
      <w:r>
        <w:t xml:space="preserve">z.B. digitaler Hallenplaner </w:t>
      </w:r>
      <w:r w:rsidR="008C0A83">
        <w:sym w:font="Wingdings" w:char="F0E0"/>
      </w:r>
      <w:r w:rsidR="008C0A83">
        <w:t xml:space="preserve"> WIMASU</w:t>
      </w:r>
      <w:r>
        <w:t>), Durchführung (z.B. Videoanalyse) und Auswertung (z.B. Erfassung von Höhen in Excel Tabelle) von Unterricht unterstützt werden.</w:t>
      </w:r>
    </w:p>
    <w:p w14:paraId="75C77FF0" w14:textId="0C18602B" w:rsidR="003C0343" w:rsidRDefault="003C0343" w:rsidP="003C0343">
      <w:pPr>
        <w:jc w:val="both"/>
      </w:pPr>
      <w:r>
        <w:t xml:space="preserve">Digitale Darstellungen können räumliche, zeitliche und dynamische Aspekte eines Bewegungsablaufs visualisieren und somit für die </w:t>
      </w:r>
      <w:r w:rsidRPr="0089691B">
        <w:rPr>
          <w:b/>
          <w:bCs/>
        </w:rPr>
        <w:t>Anschaulichkeit</w:t>
      </w:r>
      <w:r w:rsidRPr="00CA2F96">
        <w:t xml:space="preserve"> </w:t>
      </w:r>
      <w:r>
        <w:t>im Blick auf das motorische Lernen und Üben hilfreich sein. Im Rahmen einer Lernaufgabe können Kurzvideos als Ideengeber (</w:t>
      </w:r>
      <w:r w:rsidR="00B13514">
        <w:t xml:space="preserve">z.B. im </w:t>
      </w:r>
      <w:r>
        <w:t>BF 6</w:t>
      </w:r>
      <w:r w:rsidR="00EF4791">
        <w:t xml:space="preserve"> </w:t>
      </w:r>
      <w:r w:rsidR="00EF4791">
        <w:sym w:font="Wingdings" w:char="F0E0"/>
      </w:r>
      <w:r>
        <w:t xml:space="preserve"> Bühnenaufgänge) oder </w:t>
      </w:r>
      <w:r w:rsidR="00B13514">
        <w:t xml:space="preserve">als </w:t>
      </w:r>
      <w:r>
        <w:t>Bewegungsvorbilder (</w:t>
      </w:r>
      <w:r w:rsidR="00B13514">
        <w:t xml:space="preserve">z.B. </w:t>
      </w:r>
      <w:proofErr w:type="spellStart"/>
      <w:r w:rsidR="00B13514">
        <w:t xml:space="preserve">im </w:t>
      </w:r>
      <w:r>
        <w:t>B</w:t>
      </w:r>
      <w:proofErr w:type="spellEnd"/>
      <w:r>
        <w:t xml:space="preserve">F 1 </w:t>
      </w:r>
      <w:r>
        <w:sym w:font="Wingdings" w:char="F0E0"/>
      </w:r>
      <w:r>
        <w:t xml:space="preserve"> Kraftübungen) genutzt werden. Immer neue Apps (z.B. </w:t>
      </w:r>
      <w:proofErr w:type="spellStart"/>
      <w:r>
        <w:t>Hudl</w:t>
      </w:r>
      <w:proofErr w:type="spellEnd"/>
      <w:r>
        <w:t xml:space="preserve"> </w:t>
      </w:r>
      <w:proofErr w:type="spellStart"/>
      <w:r>
        <w:t>Technique</w:t>
      </w:r>
      <w:proofErr w:type="spellEnd"/>
      <w:r>
        <w:t xml:space="preserve"> oder </w:t>
      </w:r>
      <w:r w:rsidR="00584A2D">
        <w:t>Video Analysis</w:t>
      </w:r>
      <w:r>
        <w:t>) bieten interessante Möglichkeiten</w:t>
      </w:r>
      <w:r w:rsidR="00EF4791">
        <w:t>,</w:t>
      </w:r>
      <w:r>
        <w:t xml:space="preserve"> die sportmotorische Eigenrealisation in den Fokus zu rücken, mit dem Technikleitbild abzugleichen, Fehler zu identifizieren und selbstgesteuert an der Technik zu arbeiten. Damit sind Schülerinnen und Schüler nicht mehr unbedingt auf die Bewegungskorrektur durch die Lehrkraft oder die Mitschüler angewiesen und die Akzeptanz, an den eigenen „Fehlern“ zu arbeiten</w:t>
      </w:r>
      <w:r w:rsidR="00EF4791">
        <w:t>,</w:t>
      </w:r>
      <w:r>
        <w:t xml:space="preserve"> wächst. In Bezug auf die Gruppenbildung werfen Apps wie z.B. Team Shake schnell Mannschaften oder Gruppen nach dem Zufallsprinzip aus, die je nach Filter auch noch weiter differenziert werden können. Darüber hinaus gibt es vielfältige Trainings</w:t>
      </w:r>
      <w:r w:rsidR="007512DD">
        <w:t xml:space="preserve"> A</w:t>
      </w:r>
      <w:r>
        <w:t>pps zur Schulung der Ausdauer.</w:t>
      </w:r>
    </w:p>
    <w:p w14:paraId="01840AA9" w14:textId="77777777" w:rsidR="003C0343" w:rsidRPr="003C6E78" w:rsidRDefault="003C0343" w:rsidP="003C0343">
      <w:pPr>
        <w:jc w:val="both"/>
        <w:rPr>
          <w:bCs/>
        </w:rPr>
      </w:pPr>
      <w:r>
        <w:rPr>
          <w:bCs/>
        </w:rPr>
        <w:t>Empirische Befunde haben allerdings auch</w:t>
      </w:r>
      <w:r w:rsidRPr="003C6E78">
        <w:rPr>
          <w:bCs/>
        </w:rPr>
        <w:t xml:space="preserve"> gezeigt, dass der Einsatz digitaler Medien </w:t>
      </w:r>
      <w:r>
        <w:rPr>
          <w:bCs/>
        </w:rPr>
        <w:t xml:space="preserve">trotz der Berücksichtigung individueller Lernstände und hoher Eigentätigkeit </w:t>
      </w:r>
      <w:r w:rsidRPr="003C6E78">
        <w:rPr>
          <w:bCs/>
        </w:rPr>
        <w:t>nicht per se zu höheren Lernerfolgen führt (Herzig 2014)</w:t>
      </w:r>
      <w:r>
        <w:rPr>
          <w:bCs/>
        </w:rPr>
        <w:t>.</w:t>
      </w:r>
    </w:p>
    <w:p w14:paraId="4199A6C6" w14:textId="7AE09201" w:rsidR="003C0343" w:rsidRDefault="003C0343" w:rsidP="003C0343">
      <w:pPr>
        <w:jc w:val="both"/>
      </w:pPr>
      <w:r>
        <w:t xml:space="preserve">Dabei weisen Erhebungen von Bofinger (2007) darauf hin, dass der Einsatz digitaler Medien im Sport im Vergleich zu anderen Fächern abgeschlagen auf dem letzten Platz liegt. Dies mag an der (noch) fehlenden oder unzureichenden Hallenausstattung (Tablet, </w:t>
      </w:r>
      <w:proofErr w:type="spellStart"/>
      <w:r>
        <w:t>Beamer</w:t>
      </w:r>
      <w:proofErr w:type="spellEnd"/>
      <w:r>
        <w:t>, Projektionsfläche</w:t>
      </w:r>
      <w:r w:rsidR="008C0A83">
        <w:t>,</w:t>
      </w:r>
      <w:r>
        <w:t xml:space="preserve"> Internetzugang) liegen. </w:t>
      </w:r>
      <w:r w:rsidR="00B13514">
        <w:t>Zu erwähnen ist auch, dass die</w:t>
      </w:r>
      <w:r>
        <w:t xml:space="preserve"> rechtliche</w:t>
      </w:r>
      <w:r w:rsidR="002B6C99">
        <w:t>n</w:t>
      </w:r>
      <w:r>
        <w:t xml:space="preserve"> Regelung</w:t>
      </w:r>
      <w:r w:rsidR="002B6C99">
        <w:t>en</w:t>
      </w:r>
      <w:r>
        <w:t xml:space="preserve"> zum Umgang mit Fotos und Videos im Sportunterricht</w:t>
      </w:r>
      <w:r w:rsidR="00B13514">
        <w:t xml:space="preserve"> noch wenig bekannt sind.</w:t>
      </w:r>
      <w:r>
        <w:t xml:space="preserve"> (vgl. NRW- MSB AZ 521-6.08.01-149857).</w:t>
      </w:r>
    </w:p>
    <w:p w14:paraId="3E9FC84E" w14:textId="45D7D842" w:rsidR="003C0343" w:rsidRPr="009116FC" w:rsidRDefault="003C0343" w:rsidP="003C0343">
      <w:pPr>
        <w:jc w:val="both"/>
        <w:rPr>
          <w:bCs/>
        </w:rPr>
      </w:pPr>
      <w:r>
        <w:t xml:space="preserve">Studien von konkreten Settings und nachgewiesenem Nutzen im Blick auf das motorische oder taktische Lernen lassen auf sich warten. </w:t>
      </w:r>
      <w:r w:rsidRPr="009116FC">
        <w:rPr>
          <w:bCs/>
        </w:rPr>
        <w:t>(Opitz und Fischer 2011</w:t>
      </w:r>
      <w:r w:rsidR="003C27E1">
        <w:rPr>
          <w:bCs/>
        </w:rPr>
        <w:t xml:space="preserve"> a</w:t>
      </w:r>
      <w:r w:rsidRPr="009116FC">
        <w:rPr>
          <w:bCs/>
        </w:rPr>
        <w:t>)</w:t>
      </w:r>
      <w:r>
        <w:rPr>
          <w:bCs/>
        </w:rPr>
        <w:t>.</w:t>
      </w:r>
    </w:p>
    <w:p w14:paraId="12D43D7E" w14:textId="0EAFC23B" w:rsidR="003C0343" w:rsidRDefault="003C0343" w:rsidP="003C0343">
      <w:pPr>
        <w:jc w:val="both"/>
        <w:rPr>
          <w:bCs/>
        </w:rPr>
      </w:pPr>
      <w:r>
        <w:rPr>
          <w:bCs/>
        </w:rPr>
        <w:t xml:space="preserve">Wenngleich der Mehrwert durch den Einsatz digitaler Medien derzeit nicht besonders erforscht ist, so ist </w:t>
      </w:r>
      <w:r w:rsidRPr="009116FC">
        <w:rPr>
          <w:bCs/>
        </w:rPr>
        <w:t>der motivationale Aspekt von Medien</w:t>
      </w:r>
      <w:r>
        <w:rPr>
          <w:bCs/>
        </w:rPr>
        <w:t xml:space="preserve"> unbestritten</w:t>
      </w:r>
      <w:r w:rsidRPr="009116FC">
        <w:rPr>
          <w:bCs/>
        </w:rPr>
        <w:t>. Dies bezieht sich sowohl auf die analogen und mehr noch auf die digitalen Medien. (Opitz und Fischer 2011</w:t>
      </w:r>
      <w:r w:rsidR="003C27E1">
        <w:rPr>
          <w:bCs/>
        </w:rPr>
        <w:t xml:space="preserve"> b</w:t>
      </w:r>
      <w:r w:rsidRPr="009116FC">
        <w:rPr>
          <w:bCs/>
        </w:rPr>
        <w:t>)</w:t>
      </w:r>
      <w:r>
        <w:rPr>
          <w:bCs/>
        </w:rPr>
        <w:t>.</w:t>
      </w:r>
    </w:p>
    <w:p w14:paraId="07BAFE3F" w14:textId="5820AA90" w:rsidR="003C27E1" w:rsidRDefault="003C27E1" w:rsidP="003C0343">
      <w:pPr>
        <w:jc w:val="both"/>
        <w:rPr>
          <w:bCs/>
        </w:rPr>
      </w:pPr>
      <w:r>
        <w:rPr>
          <w:bCs/>
        </w:rPr>
        <w:t>Im Zuge der allgemeinen Digitalisierung strömen immer mehr Apps auf den Markt, die zum Teil auch systematisiert gezielt auf Einsatzmöglichkeiten im Sportunterricht</w:t>
      </w:r>
      <w:r w:rsidR="00C959D1">
        <w:rPr>
          <w:bCs/>
        </w:rPr>
        <w:t xml:space="preserve"> nach Kategorien (Warm </w:t>
      </w:r>
      <w:proofErr w:type="spellStart"/>
      <w:r w:rsidR="00C959D1">
        <w:rPr>
          <w:bCs/>
        </w:rPr>
        <w:t>up</w:t>
      </w:r>
      <w:proofErr w:type="spellEnd"/>
      <w:r w:rsidR="00C959D1">
        <w:rPr>
          <w:bCs/>
        </w:rPr>
        <w:t xml:space="preserve">, </w:t>
      </w:r>
      <w:proofErr w:type="gramStart"/>
      <w:r w:rsidR="00C959D1">
        <w:rPr>
          <w:bCs/>
        </w:rPr>
        <w:t>Mannschaftsspiele..</w:t>
      </w:r>
      <w:proofErr w:type="gramEnd"/>
      <w:r w:rsidR="00C959D1">
        <w:rPr>
          <w:bCs/>
        </w:rPr>
        <w:t>)</w:t>
      </w:r>
      <w:r>
        <w:rPr>
          <w:bCs/>
        </w:rPr>
        <w:t xml:space="preserve"> </w:t>
      </w:r>
      <w:r w:rsidR="008C0A83">
        <w:rPr>
          <w:bCs/>
        </w:rPr>
        <w:t>verweisen</w:t>
      </w:r>
      <w:r>
        <w:rPr>
          <w:bCs/>
        </w:rPr>
        <w:t xml:space="preserve">. </w:t>
      </w:r>
      <w:r w:rsidR="00C959D1">
        <w:rPr>
          <w:bCs/>
        </w:rPr>
        <w:t>(z.B. thorstenpuderbach.com).</w:t>
      </w:r>
    </w:p>
    <w:p w14:paraId="443D43F8" w14:textId="71EE57AF" w:rsidR="00584A2D" w:rsidRPr="00996588" w:rsidRDefault="003C0343" w:rsidP="003C0343">
      <w:pPr>
        <w:jc w:val="both"/>
      </w:pPr>
      <w:r>
        <w:t xml:space="preserve">Im Hinblick auf das </w:t>
      </w:r>
      <w:r w:rsidRPr="0089691B">
        <w:rPr>
          <w:b/>
          <w:bCs/>
        </w:rPr>
        <w:t>Video – Feedback</w:t>
      </w:r>
      <w:r>
        <w:t xml:space="preserve"> gibt es Erkenntnisse, die als gesichert gelten und für den </w:t>
      </w:r>
      <w:r w:rsidRPr="0089691B">
        <w:t>Einsatz im Sportunterricht</w:t>
      </w:r>
      <w:r>
        <w:t xml:space="preserve"> Berücksichtigung finden sollten (</w:t>
      </w:r>
      <w:r w:rsidR="0019339C">
        <w:t>Opitz &amp; Fischer 2011</w:t>
      </w:r>
      <w:r w:rsidR="003C27E1">
        <w:t xml:space="preserve"> </w:t>
      </w:r>
      <w:r w:rsidR="0019339C">
        <w:t>b)</w:t>
      </w:r>
    </w:p>
    <w:tbl>
      <w:tblPr>
        <w:tblStyle w:val="Tabellenraster"/>
        <w:tblW w:w="0" w:type="auto"/>
        <w:tblCellMar>
          <w:top w:w="85" w:type="dxa"/>
          <w:bottom w:w="85" w:type="dxa"/>
        </w:tblCellMar>
        <w:tblLook w:val="04A0" w:firstRow="1" w:lastRow="0" w:firstColumn="1" w:lastColumn="0" w:noHBand="0" w:noVBand="1"/>
      </w:tblPr>
      <w:tblGrid>
        <w:gridCol w:w="4528"/>
        <w:gridCol w:w="4528"/>
      </w:tblGrid>
      <w:tr w:rsidR="003C0343" w14:paraId="5C8EEB89" w14:textId="77777777" w:rsidTr="003B1469">
        <w:tc>
          <w:tcPr>
            <w:tcW w:w="4528" w:type="dxa"/>
          </w:tcPr>
          <w:p w14:paraId="649FAD18" w14:textId="0E144D76" w:rsidR="003C0343" w:rsidRPr="00EF0317" w:rsidRDefault="003C0343" w:rsidP="00F33594">
            <w:pPr>
              <w:jc w:val="both"/>
            </w:pPr>
            <w:r w:rsidRPr="00EF0317">
              <w:rPr>
                <w:b/>
                <w:bCs/>
              </w:rPr>
              <w:lastRenderedPageBreak/>
              <w:t>Erkenntnisse</w:t>
            </w:r>
            <w:r>
              <w:rPr>
                <w:b/>
                <w:bCs/>
              </w:rPr>
              <w:t xml:space="preserve"> </w:t>
            </w:r>
            <w:r>
              <w:t>(</w:t>
            </w:r>
            <w:r w:rsidR="00D8669C">
              <w:t>Opitz</w:t>
            </w:r>
            <w:r w:rsidR="00E5426D">
              <w:t xml:space="preserve"> &amp; </w:t>
            </w:r>
            <w:r w:rsidR="00D8669C">
              <w:t>Fischer</w:t>
            </w:r>
            <w:r w:rsidR="00E5426D">
              <w:t xml:space="preserve"> 2011</w:t>
            </w:r>
            <w:r w:rsidR="003C27E1">
              <w:t xml:space="preserve"> </w:t>
            </w:r>
            <w:r w:rsidR="0019339C">
              <w:t>b</w:t>
            </w:r>
            <w:r>
              <w:t>)</w:t>
            </w:r>
          </w:p>
        </w:tc>
        <w:tc>
          <w:tcPr>
            <w:tcW w:w="4528" w:type="dxa"/>
          </w:tcPr>
          <w:p w14:paraId="5CC06927" w14:textId="382606F6" w:rsidR="003C0343" w:rsidRPr="00EF0317" w:rsidRDefault="003C0343" w:rsidP="00F33594">
            <w:pPr>
              <w:jc w:val="center"/>
              <w:rPr>
                <w:b/>
                <w:bCs/>
              </w:rPr>
            </w:pPr>
            <w:r w:rsidRPr="00EF0317">
              <w:rPr>
                <w:b/>
                <w:bCs/>
                <w:color w:val="00B050"/>
              </w:rPr>
              <w:t>Konsequenzen</w:t>
            </w:r>
            <w:r>
              <w:rPr>
                <w:b/>
                <w:bCs/>
                <w:color w:val="00B050"/>
              </w:rPr>
              <w:t xml:space="preserve"> </w:t>
            </w:r>
            <w:r w:rsidR="003B1469">
              <w:rPr>
                <w:b/>
                <w:bCs/>
                <w:color w:val="00B050"/>
              </w:rPr>
              <w:t>für den Unterricht</w:t>
            </w:r>
          </w:p>
        </w:tc>
      </w:tr>
      <w:tr w:rsidR="003C0343" w14:paraId="52DD0861" w14:textId="77777777" w:rsidTr="003B1469">
        <w:tc>
          <w:tcPr>
            <w:tcW w:w="4528" w:type="dxa"/>
          </w:tcPr>
          <w:p w14:paraId="72932D7C" w14:textId="28C5DD3A" w:rsidR="003C0343" w:rsidRDefault="003B1469" w:rsidP="00F23D23">
            <w:pPr>
              <w:pStyle w:val="Listenabsatz"/>
              <w:numPr>
                <w:ilvl w:val="0"/>
                <w:numId w:val="3"/>
              </w:numPr>
              <w:ind w:left="457"/>
              <w:jc w:val="both"/>
            </w:pPr>
            <w:r>
              <w:t xml:space="preserve">ein kommentiertes (Expertise) </w:t>
            </w:r>
            <w:r w:rsidR="003C0343">
              <w:t xml:space="preserve">Video -Feedback hat </w:t>
            </w:r>
            <w:r>
              <w:t>größere</w:t>
            </w:r>
            <w:r w:rsidR="003C0343">
              <w:t xml:space="preserve"> Effekte als </w:t>
            </w:r>
            <w:r>
              <w:t>bloßes Betrachten</w:t>
            </w:r>
          </w:p>
        </w:tc>
        <w:tc>
          <w:tcPr>
            <w:tcW w:w="4528" w:type="dxa"/>
          </w:tcPr>
          <w:p w14:paraId="1344D646" w14:textId="48750BA7" w:rsidR="003C0343" w:rsidRDefault="003C0343" w:rsidP="00F33594">
            <w:r>
              <w:t>A</w:t>
            </w:r>
            <w:r w:rsidR="003B1469">
              <w:t>rbeitsblätter</w:t>
            </w:r>
            <w:r>
              <w:t xml:space="preserve"> mit </w:t>
            </w:r>
            <w:r w:rsidRPr="00EF0317">
              <w:rPr>
                <w:b/>
                <w:bCs/>
              </w:rPr>
              <w:t>Kriterien</w:t>
            </w:r>
            <w:r>
              <w:t xml:space="preserve"> sind erforderlich</w:t>
            </w:r>
          </w:p>
        </w:tc>
      </w:tr>
      <w:tr w:rsidR="003C0343" w14:paraId="39B5AB13" w14:textId="77777777" w:rsidTr="003B1469">
        <w:tc>
          <w:tcPr>
            <w:tcW w:w="4528" w:type="dxa"/>
          </w:tcPr>
          <w:p w14:paraId="04975FFC" w14:textId="7B9C21E3" w:rsidR="003C0343" w:rsidRDefault="003C0343" w:rsidP="00F23D23">
            <w:pPr>
              <w:pStyle w:val="Listenabsatz"/>
              <w:numPr>
                <w:ilvl w:val="0"/>
                <w:numId w:val="3"/>
              </w:numPr>
              <w:ind w:left="457"/>
              <w:jc w:val="both"/>
            </w:pPr>
            <w:r>
              <w:t>die Anzahl direkt in sportliches Handeln umsetzbare</w:t>
            </w:r>
            <w:r w:rsidR="00AA5FDD">
              <w:t>r</w:t>
            </w:r>
            <w:r>
              <w:t xml:space="preserve"> Instruktionen und Rückmeldungen ist altersabhängig und stark begrenzt</w:t>
            </w:r>
          </w:p>
        </w:tc>
        <w:tc>
          <w:tcPr>
            <w:tcW w:w="4528" w:type="dxa"/>
          </w:tcPr>
          <w:p w14:paraId="3E4A0BDB" w14:textId="77777777" w:rsidR="003C0343" w:rsidRDefault="003C0343" w:rsidP="00F33594">
            <w:r w:rsidRPr="00EF0317">
              <w:rPr>
                <w:b/>
                <w:bCs/>
              </w:rPr>
              <w:t>Anzahl der Kriterien</w:t>
            </w:r>
            <w:r>
              <w:t xml:space="preserve"> auf Lerngruppe anpassen</w:t>
            </w:r>
          </w:p>
        </w:tc>
      </w:tr>
      <w:tr w:rsidR="003C0343" w14:paraId="209B084B" w14:textId="77777777" w:rsidTr="003B1469">
        <w:tc>
          <w:tcPr>
            <w:tcW w:w="4528" w:type="dxa"/>
          </w:tcPr>
          <w:p w14:paraId="44D85DFA" w14:textId="2BF014EB" w:rsidR="003C0343" w:rsidRDefault="003C0343" w:rsidP="00F23D23">
            <w:pPr>
              <w:pStyle w:val="Listenabsatz"/>
              <w:numPr>
                <w:ilvl w:val="0"/>
                <w:numId w:val="3"/>
              </w:numPr>
              <w:ind w:left="457"/>
              <w:jc w:val="both"/>
            </w:pPr>
            <w:r>
              <w:t>die Aufmerksamkeit richtet sich beim erstmaligen Betrachten auf „Mannequin Aspekte“ wie Frisur, Aussehen, Kleidung (Schweihofen 2009)</w:t>
            </w:r>
          </w:p>
        </w:tc>
        <w:tc>
          <w:tcPr>
            <w:tcW w:w="4528" w:type="dxa"/>
          </w:tcPr>
          <w:p w14:paraId="55EB6B89" w14:textId="77777777" w:rsidR="003C0343" w:rsidRDefault="003C0343" w:rsidP="00F33594">
            <w:r w:rsidRPr="00EF0317">
              <w:rPr>
                <w:b/>
                <w:bCs/>
              </w:rPr>
              <w:t>mehrfach</w:t>
            </w:r>
            <w:r>
              <w:t xml:space="preserve"> die Möglichkeit der Betrachtung/Analyse vorsehen</w:t>
            </w:r>
            <w:r w:rsidR="003B1469">
              <w:t>;</w:t>
            </w:r>
          </w:p>
          <w:p w14:paraId="3B9A116B" w14:textId="4285A84E" w:rsidR="003B1469" w:rsidRDefault="003B1469" w:rsidP="00F33594">
            <w:r>
              <w:t>Fokussierung der Aufmerksamkeit auf ausgewählte Bewegungsmerkmale</w:t>
            </w:r>
          </w:p>
        </w:tc>
      </w:tr>
      <w:tr w:rsidR="003C0343" w14:paraId="51F9B63B" w14:textId="77777777" w:rsidTr="003B1469">
        <w:tc>
          <w:tcPr>
            <w:tcW w:w="4528" w:type="dxa"/>
          </w:tcPr>
          <w:p w14:paraId="7699F797" w14:textId="3EB90E66" w:rsidR="003C0343" w:rsidRDefault="003B1469" w:rsidP="00F23D23">
            <w:pPr>
              <w:pStyle w:val="Listenabsatz"/>
              <w:numPr>
                <w:ilvl w:val="0"/>
                <w:numId w:val="3"/>
              </w:numPr>
              <w:ind w:left="457"/>
              <w:jc w:val="both"/>
            </w:pPr>
            <w:r>
              <w:t>r</w:t>
            </w:r>
            <w:r w:rsidR="003C0343">
              <w:t xml:space="preserve">äumliche Merkmale von Bewegungen werden bei einer Präsentation in </w:t>
            </w:r>
            <w:r>
              <w:t>vier</w:t>
            </w:r>
            <w:r w:rsidR="003C0343">
              <w:t xml:space="preserve">facher Zeitlupe besser in eigenes Bewegungshandeln umgesetzt als bei </w:t>
            </w:r>
            <w:r>
              <w:t>vier</w:t>
            </w:r>
            <w:r w:rsidR="003C0343">
              <w:t>maliger Präsentation in Normalgeschwindigkeit</w:t>
            </w:r>
          </w:p>
        </w:tc>
        <w:tc>
          <w:tcPr>
            <w:tcW w:w="4528" w:type="dxa"/>
          </w:tcPr>
          <w:p w14:paraId="0BBC4D9A" w14:textId="77777777" w:rsidR="003C0343" w:rsidRDefault="003C0343" w:rsidP="00F33594">
            <w:r w:rsidRPr="00EF0317">
              <w:rPr>
                <w:b/>
                <w:bCs/>
              </w:rPr>
              <w:t>Slow Motion Funktion</w:t>
            </w:r>
            <w:r>
              <w:t xml:space="preserve"> nutzen</w:t>
            </w:r>
          </w:p>
        </w:tc>
      </w:tr>
      <w:tr w:rsidR="003C0343" w14:paraId="76DBC235" w14:textId="77777777" w:rsidTr="003B1469">
        <w:tc>
          <w:tcPr>
            <w:tcW w:w="4528" w:type="dxa"/>
          </w:tcPr>
          <w:p w14:paraId="73D0D27E" w14:textId="77777777" w:rsidR="003C0343" w:rsidRDefault="003C0343" w:rsidP="00F23D23">
            <w:pPr>
              <w:pStyle w:val="Listenabsatz"/>
              <w:numPr>
                <w:ilvl w:val="0"/>
                <w:numId w:val="3"/>
              </w:numPr>
              <w:ind w:left="457"/>
              <w:jc w:val="both"/>
            </w:pPr>
            <w:r>
              <w:t>das Betrachten von Videoaufnahmen gut ausgeführter Bewegungen verbessert die Bewegungsvorstellung und Bewegungsausführung und erleichtert die Identifikation eigener Fehler</w:t>
            </w:r>
          </w:p>
        </w:tc>
        <w:tc>
          <w:tcPr>
            <w:tcW w:w="4528" w:type="dxa"/>
          </w:tcPr>
          <w:p w14:paraId="2D281C8B" w14:textId="48DEE091" w:rsidR="003C0343" w:rsidRDefault="003C0343" w:rsidP="00F33594">
            <w:r w:rsidRPr="00EF0317">
              <w:rPr>
                <w:b/>
                <w:bCs/>
              </w:rPr>
              <w:t xml:space="preserve">Technikleitbild </w:t>
            </w:r>
            <w:r>
              <w:t xml:space="preserve">zum Vergleich ist </w:t>
            </w:r>
            <w:r w:rsidR="003B1469">
              <w:t>hilfreich</w:t>
            </w:r>
          </w:p>
        </w:tc>
      </w:tr>
      <w:tr w:rsidR="003C0343" w14:paraId="41F0CDFD" w14:textId="77777777" w:rsidTr="003B1469">
        <w:tc>
          <w:tcPr>
            <w:tcW w:w="4528" w:type="dxa"/>
          </w:tcPr>
          <w:p w14:paraId="67B6508E" w14:textId="024AA768" w:rsidR="003C0343" w:rsidRDefault="003C0343" w:rsidP="00F23D23">
            <w:pPr>
              <w:pStyle w:val="Listenabsatz"/>
              <w:numPr>
                <w:ilvl w:val="0"/>
                <w:numId w:val="3"/>
              </w:numPr>
              <w:ind w:left="457"/>
              <w:jc w:val="both"/>
            </w:pPr>
            <w:r>
              <w:t>zwischen Bewegungsausführung und Video – Feedback sollten mindestens 5</w:t>
            </w:r>
            <w:r w:rsidR="003B1469">
              <w:t xml:space="preserve">, aber nicht mehr als </w:t>
            </w:r>
            <w:r>
              <w:t>10 Sekunden verstreichen</w:t>
            </w:r>
          </w:p>
        </w:tc>
        <w:tc>
          <w:tcPr>
            <w:tcW w:w="4528" w:type="dxa"/>
          </w:tcPr>
          <w:p w14:paraId="583D479A" w14:textId="1F11AA1A" w:rsidR="003C0343" w:rsidRDefault="003C0343" w:rsidP="00F33594">
            <w:r w:rsidRPr="00EF0317">
              <w:rPr>
                <w:b/>
                <w:bCs/>
              </w:rPr>
              <w:t>Zeitliche Vorgaben</w:t>
            </w:r>
            <w:r>
              <w:t xml:space="preserve"> für Bewegung und Analyse festlegen</w:t>
            </w:r>
            <w:r w:rsidR="003B1469">
              <w:t>/einstellen</w:t>
            </w:r>
          </w:p>
        </w:tc>
      </w:tr>
    </w:tbl>
    <w:p w14:paraId="4E1B4417" w14:textId="77777777" w:rsidR="003C0343" w:rsidRDefault="003C0343" w:rsidP="003C0343"/>
    <w:p w14:paraId="071016C0" w14:textId="56348D03" w:rsidR="003C0343" w:rsidRDefault="00584A2D" w:rsidP="00996588">
      <w:pPr>
        <w:jc w:val="both"/>
      </w:pPr>
      <w:r>
        <w:t>Über den „Mehrwert“ im Blick auf die Eigenreflexion</w:t>
      </w:r>
      <w:r w:rsidR="00206150">
        <w:t xml:space="preserve"> von Bewegungshandeln im Sinne der Bewegungsoptimierung</w:t>
      </w:r>
      <w:r>
        <w:t xml:space="preserve"> hinaus hat der Umgang mit digitalen Medien </w:t>
      </w:r>
      <w:r w:rsidR="003B1469">
        <w:t>grundsätzlich</w:t>
      </w:r>
      <w:r>
        <w:t xml:space="preserve"> </w:t>
      </w:r>
      <w:r w:rsidR="003C27E1">
        <w:t>bildungs</w:t>
      </w:r>
      <w:r>
        <w:t xml:space="preserve">pädagogisches Potenzial. </w:t>
      </w:r>
      <w:r w:rsidR="00206150">
        <w:t xml:space="preserve">Der Einsatz digitaler </w:t>
      </w:r>
      <w:r w:rsidR="003B1469">
        <w:t xml:space="preserve">Medien </w:t>
      </w:r>
      <w:r w:rsidR="00206150">
        <w:t>ist auch i</w:t>
      </w:r>
      <w:r>
        <w:t xml:space="preserve">m Blick auf die </w:t>
      </w:r>
      <w:r w:rsidR="00206150" w:rsidRPr="00D91213">
        <w:rPr>
          <w:b/>
          <w:bCs/>
        </w:rPr>
        <w:t xml:space="preserve">Ausbildung einer </w:t>
      </w:r>
      <w:r w:rsidRPr="00D91213">
        <w:rPr>
          <w:b/>
          <w:bCs/>
        </w:rPr>
        <w:t>Medienkompetenz</w:t>
      </w:r>
      <w:r>
        <w:t xml:space="preserve"> der Schülerinnen und Schüler relevant</w:t>
      </w:r>
      <w:r w:rsidR="00206150">
        <w:t xml:space="preserve"> </w:t>
      </w:r>
      <w:r w:rsidR="002278F5">
        <w:t>(Hebbel-Seeger</w:t>
      </w:r>
      <w:r w:rsidR="003B1469">
        <w:t xml:space="preserve">/ </w:t>
      </w:r>
      <w:r w:rsidR="002278F5">
        <w:t>Krieger</w:t>
      </w:r>
      <w:r w:rsidR="003B1469">
        <w:t xml:space="preserve">/ </w:t>
      </w:r>
      <w:proofErr w:type="spellStart"/>
      <w:r w:rsidR="002278F5">
        <w:t>Vohle</w:t>
      </w:r>
      <w:proofErr w:type="spellEnd"/>
      <w:r w:rsidR="003B1469">
        <w:t>,</w:t>
      </w:r>
      <w:r w:rsidR="002278F5">
        <w:t xml:space="preserve"> 2014)</w:t>
      </w:r>
      <w:r w:rsidR="003B1469">
        <w:t>.</w:t>
      </w:r>
      <w:r w:rsidR="002278F5">
        <w:t xml:space="preserve"> </w:t>
      </w:r>
      <w:r w:rsidR="00206150">
        <w:t xml:space="preserve">Medienkompetenz soll </w:t>
      </w:r>
      <w:r w:rsidR="008C0A83">
        <w:t xml:space="preserve">laut MKR </w:t>
      </w:r>
      <w:r w:rsidR="00D91213">
        <w:t>i</w:t>
      </w:r>
      <w:r w:rsidR="00206150">
        <w:t xml:space="preserve">n </w:t>
      </w:r>
      <w:r w:rsidR="003B1469">
        <w:t>sechs</w:t>
      </w:r>
      <w:r w:rsidR="00206150">
        <w:t xml:space="preserve"> Feldern erreicht werden. Für den Sportunterricht eignen sich hierzu insbesondere die Felder „Bedienen und Anwenden“ sowie „Analysieren und Reflektieren“ </w:t>
      </w:r>
      <w:hyperlink r:id="rId8" w:history="1">
        <w:r w:rsidR="00206150" w:rsidRPr="00996588">
          <w:rPr>
            <w:rStyle w:val="Hyperlink"/>
          </w:rPr>
          <w:t>(vgl. MKR NRW).</w:t>
        </w:r>
      </w:hyperlink>
      <w:r w:rsidR="007512DD">
        <w:t xml:space="preserve"> Kompetenzen </w:t>
      </w:r>
      <w:r w:rsidR="00D91213">
        <w:t xml:space="preserve">in diesen Handlungsfeldern </w:t>
      </w:r>
      <w:r w:rsidR="007512DD">
        <w:t xml:space="preserve">können </w:t>
      </w:r>
      <w:r w:rsidR="00D91213">
        <w:t xml:space="preserve">z.B. </w:t>
      </w:r>
      <w:r w:rsidR="007512DD">
        <w:t xml:space="preserve">durch gezielten </w:t>
      </w:r>
      <w:r w:rsidR="00D91213">
        <w:t xml:space="preserve">Einsatz von </w:t>
      </w:r>
      <w:r w:rsidR="007512DD">
        <w:t>Tablet</w:t>
      </w:r>
      <w:r w:rsidR="00D91213">
        <w:t xml:space="preserve">s </w:t>
      </w:r>
      <w:r w:rsidR="007512DD">
        <w:t xml:space="preserve">ausgebildet werden. Zu bedenken ist auch, dass für inaktive Schülerinnen und Schüler eine hervorragende </w:t>
      </w:r>
      <w:r w:rsidR="00D91213">
        <w:t>Chance</w:t>
      </w:r>
      <w:r w:rsidR="007512DD">
        <w:t xml:space="preserve"> entsteht</w:t>
      </w:r>
      <w:r w:rsidR="00D91213">
        <w:t>,</w:t>
      </w:r>
      <w:r w:rsidR="007512DD">
        <w:t xml:space="preserve"> am Unterrichtsprozess mitzuwirken</w:t>
      </w:r>
      <w:r w:rsidR="00D070B3">
        <w:t xml:space="preserve"> - s</w:t>
      </w:r>
      <w:r w:rsidR="00D91213">
        <w:t>owohl bei der Unterstützung des Lernprozesses selbst</w:t>
      </w:r>
      <w:r w:rsidR="00D070B3">
        <w:t>,</w:t>
      </w:r>
      <w:r w:rsidR="00D91213">
        <w:t xml:space="preserve"> wie auch in den Phasen der reflektierten Praxis.</w:t>
      </w:r>
      <w:r w:rsidR="007512DD">
        <w:t xml:space="preserve"> </w:t>
      </w:r>
      <w:r w:rsidR="00100F3B">
        <w:t>Hier bietet sich eine</w:t>
      </w:r>
      <w:r w:rsidR="00100F3B">
        <w:t xml:space="preserve"> </w:t>
      </w:r>
      <w:bookmarkStart w:id="0" w:name="_GoBack"/>
      <w:bookmarkEnd w:id="0"/>
      <w:r w:rsidR="002B6C99">
        <w:t>Möglichkeit</w:t>
      </w:r>
      <w:r w:rsidR="00D91213">
        <w:t xml:space="preserve">, die </w:t>
      </w:r>
      <w:r w:rsidR="008C0A83">
        <w:t>sowohl</w:t>
      </w:r>
      <w:r w:rsidR="00D91213">
        <w:t xml:space="preserve"> im Kontext von</w:t>
      </w:r>
      <w:r w:rsidR="007512DD">
        <w:t xml:space="preserve"> </w:t>
      </w:r>
      <w:r w:rsidR="008C0A83">
        <w:t>Medienkompetenz wie auch im Hinblick auf die Leistungsbewertung diskutiert werden kann.</w:t>
      </w:r>
    </w:p>
    <w:p w14:paraId="2E159040" w14:textId="2D241BF6" w:rsidR="003C27E1" w:rsidRPr="003C27E1" w:rsidRDefault="002278F5" w:rsidP="003C0343">
      <w:pPr>
        <w:rPr>
          <w:b/>
          <w:bCs/>
        </w:rPr>
      </w:pPr>
      <w:r w:rsidRPr="00F86017">
        <w:rPr>
          <w:b/>
          <w:bCs/>
        </w:rPr>
        <w:t>Litera</w:t>
      </w:r>
      <w:r w:rsidR="00F86017" w:rsidRPr="00F86017">
        <w:rPr>
          <w:b/>
          <w:bCs/>
        </w:rPr>
        <w:t>t</w:t>
      </w:r>
      <w:r w:rsidRPr="00F86017">
        <w:rPr>
          <w:b/>
          <w:bCs/>
        </w:rPr>
        <w:t>ur</w:t>
      </w:r>
    </w:p>
    <w:p w14:paraId="2DA929B6" w14:textId="19668864" w:rsidR="00996588" w:rsidRDefault="003C27E1" w:rsidP="00996588">
      <w:pPr>
        <w:pStyle w:val="StandardWeb"/>
        <w:spacing w:before="120" w:beforeAutospacing="0" w:after="120" w:afterAutospacing="0"/>
        <w:rPr>
          <w:rFonts w:asciiTheme="minorHAnsi" w:eastAsiaTheme="minorHAnsi" w:hAnsiTheme="minorHAnsi" w:cstheme="minorBidi"/>
          <w:sz w:val="22"/>
          <w:szCs w:val="22"/>
          <w:lang w:eastAsia="en-US"/>
        </w:rPr>
      </w:pPr>
      <w:r w:rsidRPr="003C27E1">
        <w:rPr>
          <w:rFonts w:asciiTheme="minorHAnsi" w:eastAsiaTheme="minorHAnsi" w:hAnsiTheme="minorHAnsi" w:cstheme="minorBidi"/>
          <w:sz w:val="22"/>
          <w:szCs w:val="22"/>
          <w:lang w:eastAsia="en-US"/>
        </w:rPr>
        <w:t xml:space="preserve">Bofinger, J. (2007). Digitale Medien im Fachunterricht. Schulische Medienarbeit auf dem </w:t>
      </w:r>
      <w:proofErr w:type="spellStart"/>
      <w:r w:rsidRPr="003C27E1">
        <w:rPr>
          <w:rFonts w:asciiTheme="minorHAnsi" w:eastAsiaTheme="minorHAnsi" w:hAnsiTheme="minorHAnsi" w:cstheme="minorBidi"/>
          <w:sz w:val="22"/>
          <w:szCs w:val="22"/>
          <w:lang w:eastAsia="en-US"/>
        </w:rPr>
        <w:t>Prüfstand</w:t>
      </w:r>
      <w:proofErr w:type="spellEnd"/>
      <w:r w:rsidRPr="003C27E1">
        <w:rPr>
          <w:rFonts w:asciiTheme="minorHAnsi" w:eastAsiaTheme="minorHAnsi" w:hAnsiTheme="minorHAnsi" w:cstheme="minorBidi"/>
          <w:sz w:val="22"/>
          <w:szCs w:val="22"/>
          <w:lang w:eastAsia="en-US"/>
        </w:rPr>
        <w:t xml:space="preserve">. Staatsinstitut </w:t>
      </w:r>
      <w:proofErr w:type="spellStart"/>
      <w:r w:rsidRPr="003C27E1">
        <w:rPr>
          <w:rFonts w:asciiTheme="minorHAnsi" w:eastAsiaTheme="minorHAnsi" w:hAnsiTheme="minorHAnsi" w:cstheme="minorBidi"/>
          <w:sz w:val="22"/>
          <w:szCs w:val="22"/>
          <w:lang w:eastAsia="en-US"/>
        </w:rPr>
        <w:t>für</w:t>
      </w:r>
      <w:proofErr w:type="spellEnd"/>
      <w:r w:rsidRPr="003C27E1">
        <w:rPr>
          <w:rFonts w:asciiTheme="minorHAnsi" w:eastAsiaTheme="minorHAnsi" w:hAnsiTheme="minorHAnsi" w:cstheme="minorBidi"/>
          <w:sz w:val="22"/>
          <w:szCs w:val="22"/>
          <w:lang w:eastAsia="en-US"/>
        </w:rPr>
        <w:t xml:space="preserve"> </w:t>
      </w:r>
      <w:r w:rsidR="006C0CF7">
        <w:rPr>
          <w:rFonts w:asciiTheme="minorHAnsi" w:eastAsiaTheme="minorHAnsi" w:hAnsiTheme="minorHAnsi" w:cstheme="minorBidi"/>
          <w:sz w:val="22"/>
          <w:szCs w:val="22"/>
          <w:lang w:eastAsia="en-US"/>
        </w:rPr>
        <w:t xml:space="preserve">Schulqualität </w:t>
      </w:r>
      <w:r w:rsidRPr="003C27E1">
        <w:rPr>
          <w:rFonts w:asciiTheme="minorHAnsi" w:eastAsiaTheme="minorHAnsi" w:hAnsiTheme="minorHAnsi" w:cstheme="minorBidi"/>
          <w:sz w:val="22"/>
          <w:szCs w:val="22"/>
          <w:lang w:eastAsia="en-US"/>
        </w:rPr>
        <w:t xml:space="preserve">und Bildungsforschung (Hrsg.). </w:t>
      </w:r>
      <w:proofErr w:type="spellStart"/>
      <w:r w:rsidRPr="003C27E1">
        <w:rPr>
          <w:rFonts w:asciiTheme="minorHAnsi" w:eastAsiaTheme="minorHAnsi" w:hAnsiTheme="minorHAnsi" w:cstheme="minorBidi"/>
          <w:sz w:val="22"/>
          <w:szCs w:val="22"/>
          <w:lang w:eastAsia="en-US"/>
        </w:rPr>
        <w:t>Donauwörth</w:t>
      </w:r>
      <w:proofErr w:type="spellEnd"/>
      <w:r w:rsidRPr="003C27E1">
        <w:rPr>
          <w:rFonts w:asciiTheme="minorHAnsi" w:eastAsiaTheme="minorHAnsi" w:hAnsiTheme="minorHAnsi" w:cstheme="minorBidi"/>
          <w:sz w:val="22"/>
          <w:szCs w:val="22"/>
          <w:lang w:eastAsia="en-US"/>
        </w:rPr>
        <w:t>: Auer Verlag, S. 35</w:t>
      </w:r>
    </w:p>
    <w:p w14:paraId="12FF2DCA" w14:textId="77777777" w:rsidR="00996588" w:rsidRDefault="002278F5" w:rsidP="00996588">
      <w:pPr>
        <w:pStyle w:val="StandardWeb"/>
        <w:spacing w:before="120" w:beforeAutospacing="0" w:after="120" w:afterAutospacing="0"/>
        <w:rPr>
          <w:rFonts w:asciiTheme="minorHAnsi" w:eastAsiaTheme="minorHAnsi" w:hAnsiTheme="minorHAnsi" w:cstheme="minorBidi"/>
          <w:sz w:val="22"/>
          <w:szCs w:val="22"/>
          <w:lang w:eastAsia="en-US"/>
        </w:rPr>
      </w:pPr>
      <w:r w:rsidRPr="003C27E1">
        <w:rPr>
          <w:rFonts w:asciiTheme="minorHAnsi" w:eastAsiaTheme="minorHAnsi" w:hAnsiTheme="minorHAnsi" w:cstheme="minorBidi"/>
          <w:sz w:val="22"/>
          <w:szCs w:val="22"/>
          <w:lang w:eastAsia="en-US"/>
        </w:rPr>
        <w:t>Drewes, O. &amp; Ziert, J. (2014). Besser lernen durch zeitverzögertes Videofeedback. Mit einer Außensicht auf die eigene Bewegung Fertigkeiten und Fähigkeiten im Turnen und Handball optimieren. Sportpädagogik, 38 (5), 10-13.</w:t>
      </w:r>
    </w:p>
    <w:p w14:paraId="71029F7C" w14:textId="77777777" w:rsidR="00996588" w:rsidRDefault="002278F5" w:rsidP="00996588">
      <w:pPr>
        <w:pStyle w:val="StandardWeb"/>
        <w:spacing w:before="120" w:beforeAutospacing="0" w:after="120" w:afterAutospacing="0"/>
        <w:rPr>
          <w:rFonts w:asciiTheme="minorHAnsi" w:eastAsiaTheme="minorHAnsi" w:hAnsiTheme="minorHAnsi" w:cstheme="minorBidi"/>
          <w:sz w:val="22"/>
          <w:szCs w:val="22"/>
          <w:lang w:eastAsia="en-US"/>
        </w:rPr>
      </w:pPr>
      <w:r w:rsidRPr="003C27E1">
        <w:rPr>
          <w:rFonts w:asciiTheme="minorHAnsi" w:eastAsiaTheme="minorHAnsi" w:hAnsiTheme="minorHAnsi" w:cstheme="minorBidi"/>
          <w:sz w:val="22"/>
          <w:szCs w:val="22"/>
          <w:lang w:eastAsia="en-US"/>
        </w:rPr>
        <w:t xml:space="preserve">Hebbel-Seeger, A., Krieger, C. &amp; </w:t>
      </w:r>
      <w:proofErr w:type="spellStart"/>
      <w:r w:rsidRPr="003C27E1">
        <w:rPr>
          <w:rFonts w:asciiTheme="minorHAnsi" w:eastAsiaTheme="minorHAnsi" w:hAnsiTheme="minorHAnsi" w:cstheme="minorBidi"/>
          <w:sz w:val="22"/>
          <w:szCs w:val="22"/>
          <w:lang w:eastAsia="en-US"/>
        </w:rPr>
        <w:t>Vohle</w:t>
      </w:r>
      <w:proofErr w:type="spellEnd"/>
      <w:r w:rsidRPr="003C27E1">
        <w:rPr>
          <w:rFonts w:asciiTheme="minorHAnsi" w:eastAsiaTheme="minorHAnsi" w:hAnsiTheme="minorHAnsi" w:cstheme="minorBidi"/>
          <w:sz w:val="22"/>
          <w:szCs w:val="22"/>
          <w:lang w:eastAsia="en-US"/>
        </w:rPr>
        <w:t>, F. (2014). Digitale Medien im Sportunterricht. Möglichkeiten und Grenzen eines pädagogisch wünschenswerten Medieneinsatzes. Sportpädagogik, 38 (5), 2-5.</w:t>
      </w:r>
    </w:p>
    <w:p w14:paraId="3D91A68F" w14:textId="5EF48D0C" w:rsidR="00996588" w:rsidRDefault="00D8669C" w:rsidP="00996588">
      <w:pPr>
        <w:pStyle w:val="StandardWeb"/>
        <w:spacing w:before="120" w:beforeAutospacing="0" w:after="120" w:afterAutospacing="0"/>
        <w:rPr>
          <w:rFonts w:asciiTheme="minorHAnsi" w:eastAsiaTheme="minorHAnsi" w:hAnsiTheme="minorHAnsi" w:cstheme="minorBidi"/>
          <w:sz w:val="22"/>
          <w:szCs w:val="22"/>
          <w:lang w:eastAsia="en-US"/>
        </w:rPr>
      </w:pPr>
      <w:r w:rsidRPr="003C27E1">
        <w:rPr>
          <w:rFonts w:asciiTheme="minorHAnsi" w:eastAsiaTheme="minorHAnsi" w:hAnsiTheme="minorHAnsi" w:cstheme="minorBidi"/>
          <w:sz w:val="22"/>
          <w:szCs w:val="22"/>
          <w:lang w:eastAsia="en-US"/>
        </w:rPr>
        <w:lastRenderedPageBreak/>
        <w:t xml:space="preserve">Herzig, B. (2014) Wie wirksam sind digitale Medien im Unterricht? </w:t>
      </w:r>
      <w:proofErr w:type="spellStart"/>
      <w:r w:rsidRPr="003C27E1">
        <w:rPr>
          <w:rFonts w:asciiTheme="minorHAnsi" w:eastAsiaTheme="minorHAnsi" w:hAnsiTheme="minorHAnsi" w:cstheme="minorBidi"/>
          <w:sz w:val="22"/>
          <w:szCs w:val="22"/>
          <w:lang w:eastAsia="en-US"/>
        </w:rPr>
        <w:t>Bertelsmannstiftung</w:t>
      </w:r>
      <w:proofErr w:type="spellEnd"/>
      <w:r w:rsidRPr="003C27E1">
        <w:rPr>
          <w:rFonts w:asciiTheme="minorHAnsi" w:eastAsiaTheme="minorHAnsi" w:hAnsiTheme="minorHAnsi" w:cstheme="minorBidi"/>
          <w:sz w:val="22"/>
          <w:szCs w:val="22"/>
          <w:lang w:eastAsia="en-US"/>
        </w:rPr>
        <w:t xml:space="preserve"> </w:t>
      </w:r>
      <w:proofErr w:type="spellStart"/>
      <w:r w:rsidRPr="003C27E1">
        <w:rPr>
          <w:rFonts w:asciiTheme="minorHAnsi" w:eastAsiaTheme="minorHAnsi" w:hAnsiTheme="minorHAnsi" w:cstheme="minorBidi"/>
          <w:sz w:val="22"/>
          <w:szCs w:val="22"/>
          <w:lang w:eastAsia="en-US"/>
        </w:rPr>
        <w:t>pdf</w:t>
      </w:r>
      <w:proofErr w:type="spellEnd"/>
      <w:r w:rsidR="006C0CF7">
        <w:rPr>
          <w:rFonts w:asciiTheme="minorHAnsi" w:eastAsiaTheme="minorHAnsi" w:hAnsiTheme="minorHAnsi" w:cstheme="minorBidi"/>
          <w:sz w:val="22"/>
          <w:szCs w:val="22"/>
          <w:lang w:eastAsia="en-US"/>
        </w:rPr>
        <w:t xml:space="preserve"> </w:t>
      </w:r>
      <w:r w:rsidR="0019339C" w:rsidRPr="003C27E1">
        <w:rPr>
          <w:rFonts w:asciiTheme="minorHAnsi" w:eastAsiaTheme="minorHAnsi" w:hAnsiTheme="minorHAnsi" w:cstheme="minorBidi"/>
          <w:sz w:val="22"/>
          <w:szCs w:val="22"/>
          <w:lang w:eastAsia="en-US"/>
        </w:rPr>
        <w:t xml:space="preserve">Jürgens, (2018) Workshop digitale Medien und Apps im Sportunterricht. </w:t>
      </w:r>
      <w:proofErr w:type="spellStart"/>
      <w:r w:rsidR="0019339C" w:rsidRPr="003C27E1">
        <w:rPr>
          <w:rFonts w:asciiTheme="minorHAnsi" w:eastAsiaTheme="minorHAnsi" w:hAnsiTheme="minorHAnsi" w:cstheme="minorBidi"/>
          <w:sz w:val="22"/>
          <w:szCs w:val="22"/>
          <w:lang w:eastAsia="en-US"/>
        </w:rPr>
        <w:t>IfS</w:t>
      </w:r>
      <w:proofErr w:type="spellEnd"/>
      <w:r w:rsidR="0019339C" w:rsidRPr="003C27E1">
        <w:rPr>
          <w:rFonts w:asciiTheme="minorHAnsi" w:eastAsiaTheme="minorHAnsi" w:hAnsiTheme="minorHAnsi" w:cstheme="minorBidi"/>
          <w:sz w:val="22"/>
          <w:szCs w:val="22"/>
          <w:lang w:eastAsia="en-US"/>
        </w:rPr>
        <w:t xml:space="preserve"> WWU Münster. Handout.</w:t>
      </w:r>
      <w:r w:rsidR="00996588" w:rsidRPr="003C27E1">
        <w:rPr>
          <w:rFonts w:asciiTheme="minorHAnsi" w:eastAsiaTheme="minorHAnsi" w:hAnsiTheme="minorHAnsi" w:cstheme="minorBidi"/>
          <w:sz w:val="22"/>
          <w:szCs w:val="22"/>
          <w:lang w:eastAsia="en-US"/>
        </w:rPr>
        <w:t xml:space="preserve"> </w:t>
      </w:r>
    </w:p>
    <w:p w14:paraId="25D7E259" w14:textId="13A93F78" w:rsidR="00F86017" w:rsidRPr="003C27E1" w:rsidRDefault="00F86017" w:rsidP="00996588">
      <w:pPr>
        <w:pStyle w:val="StandardWeb"/>
        <w:spacing w:before="120" w:beforeAutospacing="0" w:after="120" w:afterAutospacing="0"/>
        <w:rPr>
          <w:rFonts w:asciiTheme="minorHAnsi" w:eastAsiaTheme="minorHAnsi" w:hAnsiTheme="minorHAnsi" w:cstheme="minorBidi"/>
          <w:sz w:val="22"/>
          <w:szCs w:val="22"/>
          <w:lang w:eastAsia="en-US"/>
        </w:rPr>
      </w:pPr>
      <w:r w:rsidRPr="003C27E1">
        <w:rPr>
          <w:rFonts w:asciiTheme="minorHAnsi" w:eastAsiaTheme="minorHAnsi" w:hAnsiTheme="minorHAnsi" w:cstheme="minorBidi"/>
          <w:sz w:val="22"/>
          <w:szCs w:val="22"/>
          <w:lang w:eastAsia="en-US"/>
        </w:rPr>
        <w:t>Kretschmann, R. (2018). Video-Feedback im Sportunterricht. Sportpädagogik</w:t>
      </w:r>
      <w:r w:rsidR="00D8669C" w:rsidRPr="003C27E1">
        <w:rPr>
          <w:rFonts w:asciiTheme="minorHAnsi" w:eastAsiaTheme="minorHAnsi" w:hAnsiTheme="minorHAnsi" w:cstheme="minorBidi"/>
          <w:sz w:val="22"/>
          <w:szCs w:val="22"/>
          <w:lang w:eastAsia="en-US"/>
        </w:rPr>
        <w:t xml:space="preserve"> (6)</w:t>
      </w:r>
      <w:r w:rsidR="006C0CF7">
        <w:rPr>
          <w:rFonts w:asciiTheme="minorHAnsi" w:eastAsiaTheme="minorHAnsi" w:hAnsiTheme="minorHAnsi" w:cstheme="minorBidi"/>
          <w:sz w:val="22"/>
          <w:szCs w:val="22"/>
          <w:lang w:eastAsia="en-US"/>
        </w:rPr>
        <w:t>,</w:t>
      </w:r>
      <w:r w:rsidR="00D8669C" w:rsidRPr="003C27E1">
        <w:rPr>
          <w:rFonts w:asciiTheme="minorHAnsi" w:eastAsiaTheme="minorHAnsi" w:hAnsiTheme="minorHAnsi" w:cstheme="minorBidi"/>
          <w:sz w:val="22"/>
          <w:szCs w:val="22"/>
          <w:lang w:eastAsia="en-US"/>
        </w:rPr>
        <w:t xml:space="preserve"> 44-45</w:t>
      </w:r>
    </w:p>
    <w:p w14:paraId="1F822FF0" w14:textId="0F86220C" w:rsidR="002278F5" w:rsidRPr="003C27E1" w:rsidRDefault="002278F5" w:rsidP="00996588">
      <w:pPr>
        <w:pStyle w:val="CitaviLiteraturverzeichnis"/>
        <w:spacing w:before="120" w:after="120" w:line="240" w:lineRule="auto"/>
        <w:rPr>
          <w:rFonts w:asciiTheme="minorHAnsi" w:eastAsiaTheme="minorHAnsi" w:hAnsiTheme="minorHAnsi" w:cstheme="minorBidi"/>
          <w:sz w:val="22"/>
          <w:szCs w:val="22"/>
          <w:lang w:eastAsia="en-US"/>
        </w:rPr>
      </w:pPr>
      <w:r w:rsidRPr="003C27E1">
        <w:rPr>
          <w:rFonts w:asciiTheme="minorHAnsi" w:eastAsiaTheme="minorHAnsi" w:hAnsiTheme="minorHAnsi" w:cstheme="minorBidi"/>
          <w:sz w:val="22"/>
          <w:szCs w:val="22"/>
          <w:lang w:eastAsia="en-US"/>
        </w:rPr>
        <w:t>Opitz, C. &amp; Fischer, U. (2011</w:t>
      </w:r>
      <w:r w:rsidR="0019339C" w:rsidRPr="003C27E1">
        <w:rPr>
          <w:rFonts w:asciiTheme="minorHAnsi" w:eastAsiaTheme="minorHAnsi" w:hAnsiTheme="minorHAnsi" w:cstheme="minorBidi"/>
          <w:sz w:val="22"/>
          <w:szCs w:val="22"/>
          <w:lang w:eastAsia="en-US"/>
        </w:rPr>
        <w:t>a</w:t>
      </w:r>
      <w:r w:rsidRPr="003C27E1">
        <w:rPr>
          <w:rFonts w:asciiTheme="minorHAnsi" w:eastAsiaTheme="minorHAnsi" w:hAnsiTheme="minorHAnsi" w:cstheme="minorBidi"/>
          <w:sz w:val="22"/>
          <w:szCs w:val="22"/>
          <w:lang w:eastAsia="en-US"/>
        </w:rPr>
        <w:t>). Medieneinsatz im Sportunterricht der Sekundarstufe, 60 (1), 2-7.</w:t>
      </w:r>
    </w:p>
    <w:p w14:paraId="0C9F8F69" w14:textId="67E9E955" w:rsidR="002278F5" w:rsidRPr="003C27E1" w:rsidRDefault="0019339C" w:rsidP="00996588">
      <w:pPr>
        <w:pStyle w:val="CitaviLiteraturverzeichnis"/>
        <w:spacing w:before="120" w:after="120" w:line="240" w:lineRule="auto"/>
        <w:rPr>
          <w:rFonts w:asciiTheme="minorHAnsi" w:eastAsiaTheme="minorHAnsi" w:hAnsiTheme="minorHAnsi" w:cstheme="minorBidi"/>
          <w:sz w:val="22"/>
          <w:szCs w:val="22"/>
          <w:lang w:eastAsia="en-US"/>
        </w:rPr>
      </w:pPr>
      <w:r w:rsidRPr="003C27E1">
        <w:rPr>
          <w:rFonts w:asciiTheme="minorHAnsi" w:eastAsiaTheme="minorHAnsi" w:hAnsiTheme="minorHAnsi" w:cstheme="minorBidi"/>
          <w:sz w:val="22"/>
          <w:szCs w:val="22"/>
          <w:lang w:eastAsia="en-US"/>
        </w:rPr>
        <w:t>Opitz, C. &amp; Fischer, U. (2011b) Journal Hochschuldidaktik</w:t>
      </w:r>
      <w:r w:rsidR="006C0CF7">
        <w:rPr>
          <w:rFonts w:asciiTheme="minorHAnsi" w:eastAsiaTheme="minorHAnsi" w:hAnsiTheme="minorHAnsi" w:cstheme="minorBidi"/>
          <w:sz w:val="22"/>
          <w:szCs w:val="22"/>
          <w:lang w:eastAsia="en-US"/>
        </w:rPr>
        <w:t>,</w:t>
      </w:r>
      <w:r w:rsidRPr="003C27E1">
        <w:rPr>
          <w:rFonts w:asciiTheme="minorHAnsi" w:eastAsiaTheme="minorHAnsi" w:hAnsiTheme="minorHAnsi" w:cstheme="minorBidi"/>
          <w:sz w:val="22"/>
          <w:szCs w:val="22"/>
          <w:lang w:eastAsia="en-US"/>
        </w:rPr>
        <w:t xml:space="preserve"> </w:t>
      </w:r>
      <w:r w:rsidR="003C27E1" w:rsidRPr="003C27E1">
        <w:rPr>
          <w:rFonts w:asciiTheme="minorHAnsi" w:eastAsiaTheme="minorHAnsi" w:hAnsiTheme="minorHAnsi" w:cstheme="minorBidi"/>
          <w:sz w:val="22"/>
          <w:szCs w:val="22"/>
          <w:lang w:eastAsia="en-US"/>
        </w:rPr>
        <w:t xml:space="preserve">22 </w:t>
      </w:r>
      <w:r w:rsidRPr="003C27E1">
        <w:rPr>
          <w:rFonts w:asciiTheme="minorHAnsi" w:eastAsiaTheme="minorHAnsi" w:hAnsiTheme="minorHAnsi" w:cstheme="minorBidi"/>
          <w:sz w:val="22"/>
          <w:szCs w:val="22"/>
          <w:lang w:eastAsia="en-US"/>
        </w:rPr>
        <w:t>(1) 24 – 28</w:t>
      </w:r>
    </w:p>
    <w:p w14:paraId="0474F489" w14:textId="77777777" w:rsidR="00F86017" w:rsidRPr="003C27E1" w:rsidRDefault="00F86017" w:rsidP="00996588">
      <w:pPr>
        <w:pStyle w:val="CitaviLiteraturverzeichnis"/>
        <w:spacing w:before="120" w:after="120" w:line="240" w:lineRule="auto"/>
        <w:rPr>
          <w:rFonts w:asciiTheme="minorHAnsi" w:eastAsiaTheme="minorHAnsi" w:hAnsiTheme="minorHAnsi" w:cstheme="minorBidi"/>
          <w:sz w:val="22"/>
          <w:szCs w:val="22"/>
          <w:lang w:eastAsia="en-US"/>
        </w:rPr>
      </w:pPr>
      <w:r w:rsidRPr="003C27E1">
        <w:rPr>
          <w:rFonts w:asciiTheme="minorHAnsi" w:eastAsiaTheme="minorHAnsi" w:hAnsiTheme="minorHAnsi" w:cstheme="minorBidi"/>
          <w:sz w:val="22"/>
          <w:szCs w:val="22"/>
          <w:lang w:eastAsia="en-US"/>
        </w:rPr>
        <w:t xml:space="preserve">Schweihofen, C. (2009). Simi </w:t>
      </w:r>
      <w:proofErr w:type="spellStart"/>
      <w:r w:rsidRPr="003C27E1">
        <w:rPr>
          <w:rFonts w:asciiTheme="minorHAnsi" w:eastAsiaTheme="minorHAnsi" w:hAnsiTheme="minorHAnsi" w:cstheme="minorBidi"/>
          <w:sz w:val="22"/>
          <w:szCs w:val="22"/>
          <w:lang w:eastAsia="en-US"/>
        </w:rPr>
        <w:t>VidBack</w:t>
      </w:r>
      <w:proofErr w:type="spellEnd"/>
      <w:r w:rsidRPr="003C27E1">
        <w:rPr>
          <w:rFonts w:asciiTheme="minorHAnsi" w:eastAsiaTheme="minorHAnsi" w:hAnsiTheme="minorHAnsi" w:cstheme="minorBidi"/>
          <w:sz w:val="22"/>
          <w:szCs w:val="22"/>
          <w:lang w:eastAsia="en-US"/>
        </w:rPr>
        <w:t>. Sportpädagogik, 33 (5), 46-47.</w:t>
      </w:r>
    </w:p>
    <w:p w14:paraId="5941DD3F" w14:textId="26401BBD" w:rsidR="002278F5" w:rsidRDefault="002278F5" w:rsidP="00996588">
      <w:pPr>
        <w:spacing w:before="120" w:after="120" w:line="240" w:lineRule="auto"/>
      </w:pPr>
    </w:p>
    <w:sectPr w:rsidR="002278F5" w:rsidSect="002061DE">
      <w:pgSz w:w="11906" w:h="16838"/>
      <w:pgMar w:top="1134" w:right="1702" w:bottom="67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85D79" w14:textId="77777777" w:rsidR="000E79DD" w:rsidRDefault="000E79DD" w:rsidP="00F320DC">
      <w:pPr>
        <w:spacing w:after="0" w:line="240" w:lineRule="auto"/>
      </w:pPr>
      <w:r>
        <w:separator/>
      </w:r>
    </w:p>
  </w:endnote>
  <w:endnote w:type="continuationSeparator" w:id="0">
    <w:p w14:paraId="1006F63A" w14:textId="77777777" w:rsidR="000E79DD" w:rsidRDefault="000E79DD" w:rsidP="00F3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7AA35" w14:textId="77777777" w:rsidR="000E79DD" w:rsidRDefault="000E79DD" w:rsidP="00F320DC">
      <w:pPr>
        <w:spacing w:after="0" w:line="240" w:lineRule="auto"/>
      </w:pPr>
      <w:r>
        <w:separator/>
      </w:r>
    </w:p>
  </w:footnote>
  <w:footnote w:type="continuationSeparator" w:id="0">
    <w:p w14:paraId="00DC6323" w14:textId="77777777" w:rsidR="000E79DD" w:rsidRDefault="000E79DD" w:rsidP="00F32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9240B"/>
    <w:multiLevelType w:val="hybridMultilevel"/>
    <w:tmpl w:val="AC640CCE"/>
    <w:lvl w:ilvl="0" w:tplc="40985A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4E5FCC"/>
    <w:multiLevelType w:val="hybridMultilevel"/>
    <w:tmpl w:val="5550704C"/>
    <w:lvl w:ilvl="0" w:tplc="5058B9E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631589"/>
    <w:multiLevelType w:val="hybridMultilevel"/>
    <w:tmpl w:val="C2FCB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DC"/>
    <w:rsid w:val="0002638A"/>
    <w:rsid w:val="000E3370"/>
    <w:rsid w:val="000E79DD"/>
    <w:rsid w:val="00100F3B"/>
    <w:rsid w:val="00135D6C"/>
    <w:rsid w:val="0015430B"/>
    <w:rsid w:val="001561BC"/>
    <w:rsid w:val="001821DB"/>
    <w:rsid w:val="0019339C"/>
    <w:rsid w:val="001D7B07"/>
    <w:rsid w:val="001E5E51"/>
    <w:rsid w:val="001F5819"/>
    <w:rsid w:val="001F70C6"/>
    <w:rsid w:val="00206150"/>
    <w:rsid w:val="002061DE"/>
    <w:rsid w:val="0021694D"/>
    <w:rsid w:val="002278F5"/>
    <w:rsid w:val="002B6C99"/>
    <w:rsid w:val="002F091B"/>
    <w:rsid w:val="00313927"/>
    <w:rsid w:val="00354181"/>
    <w:rsid w:val="003B1469"/>
    <w:rsid w:val="003C0343"/>
    <w:rsid w:val="003C27E1"/>
    <w:rsid w:val="004111B8"/>
    <w:rsid w:val="00446AD2"/>
    <w:rsid w:val="00474E59"/>
    <w:rsid w:val="004A2CD5"/>
    <w:rsid w:val="0051264B"/>
    <w:rsid w:val="005341F6"/>
    <w:rsid w:val="005448E8"/>
    <w:rsid w:val="005704B2"/>
    <w:rsid w:val="00584A2D"/>
    <w:rsid w:val="005C4C0D"/>
    <w:rsid w:val="00611BA7"/>
    <w:rsid w:val="00677838"/>
    <w:rsid w:val="006C0CF7"/>
    <w:rsid w:val="006C35D5"/>
    <w:rsid w:val="006C6F3E"/>
    <w:rsid w:val="006F1E8F"/>
    <w:rsid w:val="0073163D"/>
    <w:rsid w:val="007512DD"/>
    <w:rsid w:val="007527CB"/>
    <w:rsid w:val="007A19D6"/>
    <w:rsid w:val="007A7AD7"/>
    <w:rsid w:val="00847F50"/>
    <w:rsid w:val="00850AE1"/>
    <w:rsid w:val="00852DE9"/>
    <w:rsid w:val="00896722"/>
    <w:rsid w:val="0089691B"/>
    <w:rsid w:val="008A749C"/>
    <w:rsid w:val="008C0A83"/>
    <w:rsid w:val="00911165"/>
    <w:rsid w:val="00931022"/>
    <w:rsid w:val="009556D5"/>
    <w:rsid w:val="00973E60"/>
    <w:rsid w:val="00996588"/>
    <w:rsid w:val="009E3C15"/>
    <w:rsid w:val="009F0E3F"/>
    <w:rsid w:val="00A250ED"/>
    <w:rsid w:val="00A25CDA"/>
    <w:rsid w:val="00A34B34"/>
    <w:rsid w:val="00A4047D"/>
    <w:rsid w:val="00A853FB"/>
    <w:rsid w:val="00A91470"/>
    <w:rsid w:val="00AA5FDD"/>
    <w:rsid w:val="00B13514"/>
    <w:rsid w:val="00B15473"/>
    <w:rsid w:val="00B270BA"/>
    <w:rsid w:val="00B53585"/>
    <w:rsid w:val="00B5462A"/>
    <w:rsid w:val="00B7210A"/>
    <w:rsid w:val="00B84AF8"/>
    <w:rsid w:val="00BA76A4"/>
    <w:rsid w:val="00BB0DAB"/>
    <w:rsid w:val="00BC5F96"/>
    <w:rsid w:val="00BF36D8"/>
    <w:rsid w:val="00C11C88"/>
    <w:rsid w:val="00C60C7C"/>
    <w:rsid w:val="00C6740A"/>
    <w:rsid w:val="00C959D1"/>
    <w:rsid w:val="00CC42C7"/>
    <w:rsid w:val="00CE53E8"/>
    <w:rsid w:val="00D0171F"/>
    <w:rsid w:val="00D070B3"/>
    <w:rsid w:val="00D13A3A"/>
    <w:rsid w:val="00D8669C"/>
    <w:rsid w:val="00D91213"/>
    <w:rsid w:val="00DE2C51"/>
    <w:rsid w:val="00DF51D1"/>
    <w:rsid w:val="00E06788"/>
    <w:rsid w:val="00E1193D"/>
    <w:rsid w:val="00E41AF5"/>
    <w:rsid w:val="00E5426D"/>
    <w:rsid w:val="00E5667F"/>
    <w:rsid w:val="00E65F78"/>
    <w:rsid w:val="00ED6398"/>
    <w:rsid w:val="00EF4791"/>
    <w:rsid w:val="00F050AA"/>
    <w:rsid w:val="00F13E50"/>
    <w:rsid w:val="00F23D23"/>
    <w:rsid w:val="00F26A23"/>
    <w:rsid w:val="00F320DC"/>
    <w:rsid w:val="00F40476"/>
    <w:rsid w:val="00F86017"/>
    <w:rsid w:val="00F94B4F"/>
    <w:rsid w:val="00FA11C4"/>
    <w:rsid w:val="00FA4C00"/>
    <w:rsid w:val="00FB62A0"/>
    <w:rsid w:val="00FE7CF8"/>
    <w:rsid w:val="00FF1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55838"/>
  <w15:docId w15:val="{D28F1AFB-E460-2842-9716-9C82A401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20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20DC"/>
  </w:style>
  <w:style w:type="paragraph" w:styleId="Fuzeile">
    <w:name w:val="footer"/>
    <w:basedOn w:val="Standard"/>
    <w:link w:val="FuzeileZchn"/>
    <w:uiPriority w:val="99"/>
    <w:unhideWhenUsed/>
    <w:rsid w:val="00F320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20DC"/>
  </w:style>
  <w:style w:type="paragraph" w:styleId="Listenabsatz">
    <w:name w:val="List Paragraph"/>
    <w:basedOn w:val="Standard"/>
    <w:uiPriority w:val="34"/>
    <w:qFormat/>
    <w:rsid w:val="00F320DC"/>
    <w:pPr>
      <w:ind w:left="720"/>
      <w:contextualSpacing/>
    </w:pPr>
  </w:style>
  <w:style w:type="table" w:styleId="Tabellenraster">
    <w:name w:val="Table Grid"/>
    <w:basedOn w:val="NormaleTabelle"/>
    <w:uiPriority w:val="39"/>
    <w:rsid w:val="00E1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5dunkelAkzent41">
    <w:name w:val="Gitternetztabelle 5 dunkel  – Akzent 41"/>
    <w:basedOn w:val="NormaleTabelle"/>
    <w:uiPriority w:val="50"/>
    <w:rsid w:val="009F0E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itternetztabelle5dunkelAkzent21">
    <w:name w:val="Gitternetztabelle 5 dunkel  – Akzent 21"/>
    <w:basedOn w:val="NormaleTabelle"/>
    <w:uiPriority w:val="50"/>
    <w:rsid w:val="009F0E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Listentabelle4Akzent21">
    <w:name w:val="Listentabelle 4 – Akzent 21"/>
    <w:basedOn w:val="NormaleTabelle"/>
    <w:uiPriority w:val="49"/>
    <w:rsid w:val="009F0E3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netztabelle5dunkelAkzent11">
    <w:name w:val="Gitternetztabelle 5 dunkel  – Akzent 11"/>
    <w:basedOn w:val="NormaleTabelle"/>
    <w:uiPriority w:val="50"/>
    <w:rsid w:val="009F0E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itternetztabelle5dunkelAkzent31">
    <w:name w:val="Gitternetztabelle 5 dunkel  – Akzent 31"/>
    <w:basedOn w:val="NormaleTabelle"/>
    <w:uiPriority w:val="50"/>
    <w:rsid w:val="00B270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Funotentext">
    <w:name w:val="footnote text"/>
    <w:basedOn w:val="Standard"/>
    <w:link w:val="FunotentextZchn"/>
    <w:uiPriority w:val="99"/>
    <w:semiHidden/>
    <w:unhideWhenUsed/>
    <w:rsid w:val="00852DE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52DE9"/>
    <w:rPr>
      <w:sz w:val="20"/>
      <w:szCs w:val="20"/>
    </w:rPr>
  </w:style>
  <w:style w:type="character" w:styleId="Funotenzeichen">
    <w:name w:val="footnote reference"/>
    <w:basedOn w:val="Absatz-Standardschriftart"/>
    <w:uiPriority w:val="99"/>
    <w:semiHidden/>
    <w:unhideWhenUsed/>
    <w:rsid w:val="00852DE9"/>
    <w:rPr>
      <w:vertAlign w:val="superscript"/>
    </w:rPr>
  </w:style>
  <w:style w:type="paragraph" w:customStyle="1" w:styleId="CitaviLiteraturverzeichnis">
    <w:name w:val="Citavi Literaturverzeichnis"/>
    <w:uiPriority w:val="99"/>
    <w:rsid w:val="002278F5"/>
    <w:pPr>
      <w:autoSpaceDE w:val="0"/>
      <w:autoSpaceDN w:val="0"/>
      <w:adjustRightInd w:val="0"/>
      <w:spacing w:after="0" w:line="0" w:lineRule="atLeast"/>
      <w:ind w:left="283" w:hanging="283"/>
    </w:pPr>
    <w:rPr>
      <w:rFonts w:ascii="Segoe UI" w:eastAsia="Times New Roman" w:hAnsi="Segoe UI" w:cs="Times New Roman"/>
      <w:sz w:val="18"/>
      <w:szCs w:val="20"/>
      <w:lang w:eastAsia="de-DE"/>
    </w:rPr>
  </w:style>
  <w:style w:type="paragraph" w:styleId="StandardWeb">
    <w:name w:val="Normal (Web)"/>
    <w:basedOn w:val="Standard"/>
    <w:uiPriority w:val="99"/>
    <w:unhideWhenUsed/>
    <w:rsid w:val="003C2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96588"/>
    <w:rPr>
      <w:color w:val="0563C1" w:themeColor="hyperlink"/>
      <w:u w:val="single"/>
    </w:rPr>
  </w:style>
  <w:style w:type="character" w:customStyle="1" w:styleId="NichtaufgelsteErwhnung1">
    <w:name w:val="Nicht aufgelöste Erwähnung1"/>
    <w:basedOn w:val="Absatz-Standardschriftart"/>
    <w:uiPriority w:val="99"/>
    <w:rsid w:val="00996588"/>
    <w:rPr>
      <w:color w:val="605E5C"/>
      <w:shd w:val="clear" w:color="auto" w:fill="E1DFDD"/>
    </w:rPr>
  </w:style>
  <w:style w:type="character" w:styleId="Kommentarzeichen">
    <w:name w:val="annotation reference"/>
    <w:basedOn w:val="Absatz-Standardschriftart"/>
    <w:uiPriority w:val="99"/>
    <w:semiHidden/>
    <w:unhideWhenUsed/>
    <w:rsid w:val="00EF4791"/>
    <w:rPr>
      <w:sz w:val="16"/>
      <w:szCs w:val="16"/>
    </w:rPr>
  </w:style>
  <w:style w:type="paragraph" w:styleId="Kommentartext">
    <w:name w:val="annotation text"/>
    <w:basedOn w:val="Standard"/>
    <w:link w:val="KommentartextZchn"/>
    <w:uiPriority w:val="99"/>
    <w:semiHidden/>
    <w:unhideWhenUsed/>
    <w:rsid w:val="00EF47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4791"/>
    <w:rPr>
      <w:sz w:val="20"/>
      <w:szCs w:val="20"/>
    </w:rPr>
  </w:style>
  <w:style w:type="paragraph" w:styleId="Kommentarthema">
    <w:name w:val="annotation subject"/>
    <w:basedOn w:val="Kommentartext"/>
    <w:next w:val="Kommentartext"/>
    <w:link w:val="KommentarthemaZchn"/>
    <w:uiPriority w:val="99"/>
    <w:semiHidden/>
    <w:unhideWhenUsed/>
    <w:rsid w:val="00EF4791"/>
    <w:rPr>
      <w:b/>
      <w:bCs/>
    </w:rPr>
  </w:style>
  <w:style w:type="character" w:customStyle="1" w:styleId="KommentarthemaZchn">
    <w:name w:val="Kommentarthema Zchn"/>
    <w:basedOn w:val="KommentartextZchn"/>
    <w:link w:val="Kommentarthema"/>
    <w:uiPriority w:val="99"/>
    <w:semiHidden/>
    <w:rsid w:val="00EF4791"/>
    <w:rPr>
      <w:b/>
      <w:bCs/>
      <w:sz w:val="20"/>
      <w:szCs w:val="20"/>
    </w:rPr>
  </w:style>
  <w:style w:type="paragraph" w:styleId="Sprechblasentext">
    <w:name w:val="Balloon Text"/>
    <w:basedOn w:val="Standard"/>
    <w:link w:val="SprechblasentextZchn"/>
    <w:uiPriority w:val="99"/>
    <w:semiHidden/>
    <w:unhideWhenUsed/>
    <w:rsid w:val="00EF47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4606">
      <w:bodyDiv w:val="1"/>
      <w:marLeft w:val="0"/>
      <w:marRight w:val="0"/>
      <w:marTop w:val="0"/>
      <w:marBottom w:val="0"/>
      <w:divBdr>
        <w:top w:val="none" w:sz="0" w:space="0" w:color="auto"/>
        <w:left w:val="none" w:sz="0" w:space="0" w:color="auto"/>
        <w:bottom w:val="none" w:sz="0" w:space="0" w:color="auto"/>
        <w:right w:val="none" w:sz="0" w:space="0" w:color="auto"/>
      </w:divBdr>
      <w:divsChild>
        <w:div w:id="1832941634">
          <w:marLeft w:val="0"/>
          <w:marRight w:val="0"/>
          <w:marTop w:val="0"/>
          <w:marBottom w:val="0"/>
          <w:divBdr>
            <w:top w:val="none" w:sz="0" w:space="0" w:color="auto"/>
            <w:left w:val="none" w:sz="0" w:space="0" w:color="auto"/>
            <w:bottom w:val="none" w:sz="0" w:space="0" w:color="auto"/>
            <w:right w:val="none" w:sz="0" w:space="0" w:color="auto"/>
          </w:divBdr>
          <w:divsChild>
            <w:div w:id="2019118839">
              <w:marLeft w:val="0"/>
              <w:marRight w:val="0"/>
              <w:marTop w:val="0"/>
              <w:marBottom w:val="0"/>
              <w:divBdr>
                <w:top w:val="none" w:sz="0" w:space="0" w:color="auto"/>
                <w:left w:val="none" w:sz="0" w:space="0" w:color="auto"/>
                <w:bottom w:val="none" w:sz="0" w:space="0" w:color="auto"/>
                <w:right w:val="none" w:sz="0" w:space="0" w:color="auto"/>
              </w:divBdr>
              <w:divsChild>
                <w:div w:id="1879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enkompetenzrahmen.nrw.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F1A48-AB0E-2247-9092-A03B70A8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6425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Runte</dc:creator>
  <cp:keywords/>
  <dc:description/>
  <cp:lastModifiedBy>steffi.zielonka@gmx.net</cp:lastModifiedBy>
  <cp:revision>5</cp:revision>
  <dcterms:created xsi:type="dcterms:W3CDTF">2019-09-24T14:59:00Z</dcterms:created>
  <dcterms:modified xsi:type="dcterms:W3CDTF">2019-09-24T15:50:00Z</dcterms:modified>
</cp:coreProperties>
</file>