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1AD4B" w14:textId="33241888" w:rsidR="00BC6F7E" w:rsidRPr="0054633E" w:rsidRDefault="00662095" w:rsidP="0054633E">
      <w:pPr>
        <w:rPr>
          <w:rFonts w:ascii="Calibri" w:hAnsi="Calibri" w:cs="Calibri"/>
          <w:b/>
          <w:sz w:val="22"/>
          <w:szCs w:val="22"/>
        </w:rPr>
      </w:pPr>
      <w:bookmarkStart w:id="0" w:name="_GoBack"/>
      <w:bookmarkEnd w:id="0"/>
      <w:r w:rsidRPr="0054633E">
        <w:rPr>
          <w:rFonts w:ascii="Calibri" w:hAnsi="Calibri" w:cs="Calibri"/>
          <w:b/>
          <w:sz w:val="22"/>
          <w:szCs w:val="22"/>
        </w:rPr>
        <w:t>Jahrgangsstufe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6"/>
        <w:gridCol w:w="6320"/>
      </w:tblGrid>
      <w:tr w:rsidR="00662095" w:rsidRPr="00545375" w14:paraId="29763054" w14:textId="77777777" w:rsidTr="006007FD">
        <w:tc>
          <w:tcPr>
            <w:tcW w:w="14426" w:type="dxa"/>
            <w:gridSpan w:val="2"/>
            <w:tcBorders>
              <w:bottom w:val="single" w:sz="4" w:space="0" w:color="auto"/>
            </w:tcBorders>
            <w:shd w:val="clear" w:color="auto" w:fill="CCCCCC"/>
          </w:tcPr>
          <w:p w14:paraId="74574AF6" w14:textId="4758DD2B" w:rsidR="00662095" w:rsidRPr="00795B69" w:rsidRDefault="00662095" w:rsidP="00C321B6">
            <w:pPr>
              <w:spacing w:before="60"/>
              <w:rPr>
                <w:rFonts w:ascii="Calibri" w:hAnsi="Calibri" w:cs="Calibri"/>
                <w:b/>
                <w:sz w:val="22"/>
                <w:szCs w:val="22"/>
              </w:rPr>
            </w:pPr>
            <w:r>
              <w:rPr>
                <w:rFonts w:ascii="Calibri" w:hAnsi="Calibri" w:cs="Calibri"/>
                <w:b/>
              </w:rPr>
              <w:t>U</w:t>
            </w:r>
            <w:r w:rsidR="007D0EFE">
              <w:rPr>
                <w:rFonts w:ascii="Calibri" w:hAnsi="Calibri" w:cs="Calibri"/>
                <w:b/>
              </w:rPr>
              <w:t>nterrichtsvorhaben</w:t>
            </w:r>
            <w:r>
              <w:rPr>
                <w:rFonts w:ascii="Calibri" w:hAnsi="Calibri" w:cs="Calibri"/>
                <w:b/>
              </w:rPr>
              <w:t xml:space="preserve"> 1: </w:t>
            </w:r>
            <w:r w:rsidRPr="00795B69">
              <w:rPr>
                <w:rFonts w:ascii="Calibri" w:hAnsi="Calibri" w:cs="Calibri"/>
                <w:b/>
              </w:rPr>
              <w:t>Woran glaube ich? Woran glauben andere?</w:t>
            </w:r>
          </w:p>
          <w:p w14:paraId="10305694" w14:textId="53E3A246" w:rsidR="00662095" w:rsidRPr="00545375" w:rsidRDefault="00662095" w:rsidP="006007FD">
            <w:pPr>
              <w:spacing w:after="60"/>
              <w:jc w:val="both"/>
              <w:rPr>
                <w:rFonts w:ascii="Calibri" w:hAnsi="Calibri" w:cs="Calibri"/>
                <w:sz w:val="22"/>
                <w:szCs w:val="22"/>
              </w:rPr>
            </w:pPr>
            <w:r w:rsidRPr="00795B69">
              <w:rPr>
                <w:rFonts w:ascii="Calibri" w:hAnsi="Calibri" w:cs="Calibri"/>
                <w:sz w:val="22"/>
                <w:szCs w:val="22"/>
              </w:rPr>
              <w:t>Der Startpunkt des gemeinsamen Religionsunterrichtes der neuen Lerngruppen ist die Frage nach dem individuellen Glauben – im Kontrast oder im Gleichklang mit anderen Glaubensvorstellungen innerhalb der Gruppe, einer Religionsgemeinschaft oder darüber hinaus. Ausgehend von unspezifischen Glaubensaussagen soll der Blick über den Tellerrand des Christentums hinaus auf Feste und Rituale der eigenen Religion und anderen Glaubensüberzeugungen  gerichtet werden. Dafür spielen religiös bedeutsame Orte eine große Rolle und werden auf ihre Bedeutung für den Glauben innerhalb von Religionsgemeinschaften hin befragt.</w:t>
            </w:r>
          </w:p>
        </w:tc>
      </w:tr>
      <w:tr w:rsidR="00662095" w:rsidRPr="00545375" w14:paraId="3E559272" w14:textId="77777777" w:rsidTr="006007FD">
        <w:tc>
          <w:tcPr>
            <w:tcW w:w="14426" w:type="dxa"/>
            <w:gridSpan w:val="2"/>
            <w:shd w:val="clear" w:color="auto" w:fill="BFBFBF"/>
          </w:tcPr>
          <w:p w14:paraId="32770542" w14:textId="77777777" w:rsidR="00662095" w:rsidRPr="00795B69" w:rsidRDefault="00662095" w:rsidP="00C321B6">
            <w:pPr>
              <w:spacing w:before="60"/>
              <w:rPr>
                <w:rFonts w:ascii="Calibri" w:hAnsi="Calibri" w:cs="Calibri"/>
                <w:sz w:val="22"/>
                <w:szCs w:val="22"/>
              </w:rPr>
            </w:pPr>
            <w:r w:rsidRPr="00795B69">
              <w:rPr>
                <w:rFonts w:ascii="Calibri" w:hAnsi="Calibri" w:cs="Calibri"/>
                <w:sz w:val="22"/>
                <w:szCs w:val="22"/>
              </w:rPr>
              <w:t xml:space="preserve">IF 6.1: </w:t>
            </w:r>
            <w:r w:rsidRPr="00866D1C">
              <w:rPr>
                <w:rFonts w:asciiTheme="minorHAnsi" w:hAnsiTheme="minorHAnsi" w:cs="Arial"/>
                <w:sz w:val="22"/>
                <w:szCs w:val="22"/>
              </w:rPr>
              <w:t>Glaube und Lebensgestaltung von Menschen jüdischen, christlichen sowie islamischen Glaubens</w:t>
            </w:r>
          </w:p>
          <w:p w14:paraId="05F5B60C" w14:textId="1B118A2C" w:rsidR="00662095" w:rsidRPr="00545375" w:rsidRDefault="00662095" w:rsidP="006007FD">
            <w:pPr>
              <w:spacing w:after="60"/>
              <w:jc w:val="both"/>
              <w:rPr>
                <w:rFonts w:ascii="Calibri" w:hAnsi="Calibri" w:cs="Calibri"/>
                <w:b/>
                <w:sz w:val="22"/>
                <w:szCs w:val="22"/>
              </w:rPr>
            </w:pPr>
            <w:r w:rsidRPr="00795B69">
              <w:rPr>
                <w:rFonts w:ascii="Calibri" w:hAnsi="Calibri" w:cs="Calibri"/>
                <w:sz w:val="22"/>
                <w:szCs w:val="22"/>
              </w:rPr>
              <w:t>IF 7.1: Ausdrucksformen von Religion im Lebens- und Jahreslauf</w:t>
            </w:r>
          </w:p>
        </w:tc>
      </w:tr>
      <w:tr w:rsidR="00662095" w:rsidRPr="00545375" w14:paraId="4B3B9584" w14:textId="77777777" w:rsidTr="006007FD">
        <w:tc>
          <w:tcPr>
            <w:tcW w:w="14426" w:type="dxa"/>
            <w:gridSpan w:val="2"/>
            <w:shd w:val="clear" w:color="auto" w:fill="auto"/>
          </w:tcPr>
          <w:p w14:paraId="7AEF56BF" w14:textId="77777777" w:rsidR="00662095" w:rsidRPr="00795B69" w:rsidRDefault="00662095" w:rsidP="0054633E">
            <w:pPr>
              <w:rPr>
                <w:rFonts w:ascii="Calibri" w:hAnsi="Calibri" w:cs="Calibri"/>
                <w:b/>
                <w:sz w:val="22"/>
                <w:szCs w:val="22"/>
              </w:rPr>
            </w:pPr>
            <w:r w:rsidRPr="00795B69">
              <w:rPr>
                <w:rFonts w:ascii="Calibri" w:hAnsi="Calibri" w:cs="Calibri"/>
                <w:b/>
                <w:sz w:val="22"/>
                <w:szCs w:val="22"/>
              </w:rPr>
              <w:t>Übergeordnete Kompetenzerwartungen:</w:t>
            </w:r>
          </w:p>
          <w:p w14:paraId="4ADFE11C" w14:textId="77777777" w:rsidR="00662095" w:rsidRPr="00795B69" w:rsidRDefault="00662095" w:rsidP="00C321B6">
            <w:pPr>
              <w:rPr>
                <w:rFonts w:ascii="Calibri" w:hAnsi="Calibri" w:cs="Calibri"/>
                <w:sz w:val="22"/>
                <w:szCs w:val="22"/>
              </w:rPr>
            </w:pPr>
            <w:r w:rsidRPr="00795B69">
              <w:rPr>
                <w:rFonts w:ascii="Calibri" w:hAnsi="Calibri" w:cs="Calibri"/>
                <w:sz w:val="22"/>
                <w:szCs w:val="22"/>
              </w:rPr>
              <w:t xml:space="preserve">Die Schülerinnen und Schüler </w:t>
            </w:r>
          </w:p>
          <w:p w14:paraId="09CBD59A" w14:textId="4C5AD3AC" w:rsidR="00662095" w:rsidRPr="00795B69" w:rsidRDefault="00662095" w:rsidP="00662095">
            <w:pPr>
              <w:numPr>
                <w:ilvl w:val="0"/>
                <w:numId w:val="5"/>
              </w:numPr>
              <w:tabs>
                <w:tab w:val="clear" w:pos="720"/>
                <w:tab w:val="num" w:pos="284"/>
                <w:tab w:val="num" w:pos="397"/>
              </w:tabs>
              <w:ind w:left="170" w:hanging="170"/>
              <w:rPr>
                <w:rFonts w:ascii="Calibri" w:hAnsi="Calibri" w:cs="Arial"/>
                <w:sz w:val="20"/>
                <w:szCs w:val="20"/>
              </w:rPr>
            </w:pPr>
            <w:r w:rsidRPr="00795B69">
              <w:rPr>
                <w:rFonts w:ascii="Calibri" w:hAnsi="Calibri" w:cs="Arial"/>
                <w:sz w:val="20"/>
                <w:szCs w:val="20"/>
              </w:rPr>
              <w:t>beschreiben Grunderfahrungen des Menschen, die Ausgangspunkte religiösen Fragens sein können</w:t>
            </w:r>
            <w:r w:rsidR="00BB65FB">
              <w:rPr>
                <w:rFonts w:ascii="Calibri" w:hAnsi="Calibri" w:cs="Arial"/>
                <w:sz w:val="20"/>
                <w:szCs w:val="20"/>
              </w:rPr>
              <w:t>,</w:t>
            </w:r>
            <w:r w:rsidRPr="00795B69">
              <w:rPr>
                <w:rFonts w:ascii="Calibri" w:hAnsi="Calibri" w:cs="Arial"/>
                <w:sz w:val="20"/>
                <w:szCs w:val="20"/>
              </w:rPr>
              <w:t xml:space="preserve"> (SK2)</w:t>
            </w:r>
          </w:p>
          <w:p w14:paraId="6BCE3408" w14:textId="5377527D" w:rsidR="00662095" w:rsidRPr="00795B69" w:rsidRDefault="00662095" w:rsidP="00662095">
            <w:pPr>
              <w:numPr>
                <w:ilvl w:val="0"/>
                <w:numId w:val="5"/>
              </w:numPr>
              <w:tabs>
                <w:tab w:val="clear" w:pos="720"/>
                <w:tab w:val="num" w:pos="284"/>
                <w:tab w:val="num" w:pos="397"/>
              </w:tabs>
              <w:ind w:left="170" w:hanging="170"/>
              <w:rPr>
                <w:rFonts w:ascii="Calibri" w:hAnsi="Calibri" w:cs="Arial"/>
                <w:sz w:val="20"/>
                <w:szCs w:val="20"/>
              </w:rPr>
            </w:pPr>
            <w:r w:rsidRPr="00795B69">
              <w:rPr>
                <w:rFonts w:ascii="Calibri" w:hAnsi="Calibri" w:cs="Arial"/>
                <w:sz w:val="20"/>
                <w:szCs w:val="20"/>
              </w:rPr>
              <w:t>entfalten ihre Fragen nach Grund, Sinn und Ziel der Welt sowie der eigenen Existenz und formulieren mögliche Antworten</w:t>
            </w:r>
            <w:r w:rsidR="00BB65FB">
              <w:rPr>
                <w:rFonts w:ascii="Calibri" w:hAnsi="Calibri" w:cs="Arial"/>
                <w:sz w:val="20"/>
                <w:szCs w:val="20"/>
              </w:rPr>
              <w:t>,</w:t>
            </w:r>
            <w:r w:rsidRPr="00795B69">
              <w:rPr>
                <w:rFonts w:ascii="Calibri" w:hAnsi="Calibri" w:cs="Arial"/>
                <w:sz w:val="20"/>
                <w:szCs w:val="20"/>
              </w:rPr>
              <w:t xml:space="preserve"> (SK4)</w:t>
            </w:r>
          </w:p>
          <w:p w14:paraId="60AF14DC" w14:textId="23A4598F" w:rsidR="00662095" w:rsidRPr="00795B69" w:rsidRDefault="00662095" w:rsidP="00662095">
            <w:pPr>
              <w:numPr>
                <w:ilvl w:val="0"/>
                <w:numId w:val="5"/>
              </w:numPr>
              <w:tabs>
                <w:tab w:val="clear" w:pos="720"/>
                <w:tab w:val="num" w:pos="284"/>
                <w:tab w:val="num" w:pos="397"/>
              </w:tabs>
              <w:ind w:left="170" w:hanging="170"/>
              <w:rPr>
                <w:rFonts w:ascii="Calibri" w:hAnsi="Calibri" w:cs="Arial"/>
                <w:sz w:val="20"/>
                <w:szCs w:val="20"/>
              </w:rPr>
            </w:pPr>
            <w:r w:rsidRPr="00795B69">
              <w:rPr>
                <w:rFonts w:ascii="Calibri" w:hAnsi="Calibri" w:cs="Arial"/>
                <w:sz w:val="20"/>
                <w:szCs w:val="20"/>
              </w:rPr>
              <w:t>beschreiben eigene religiöse bzw. nichtreligiöse Erfahrungen, Vorstellungen und Überzeugungen und stellen diese dar</w:t>
            </w:r>
            <w:r w:rsidR="00BB65FB">
              <w:rPr>
                <w:rFonts w:ascii="Calibri" w:hAnsi="Calibri" w:cs="Arial"/>
                <w:sz w:val="20"/>
                <w:szCs w:val="20"/>
              </w:rPr>
              <w:t>,</w:t>
            </w:r>
            <w:r w:rsidRPr="00795B69">
              <w:rPr>
                <w:rFonts w:ascii="Calibri" w:hAnsi="Calibri" w:cs="Arial"/>
                <w:sz w:val="20"/>
                <w:szCs w:val="20"/>
              </w:rPr>
              <w:t xml:space="preserve"> (HK1)</w:t>
            </w:r>
          </w:p>
          <w:p w14:paraId="3DFA6D30" w14:textId="15DC4AD8" w:rsidR="00662095" w:rsidRPr="00B5717F" w:rsidRDefault="00662095" w:rsidP="00662095">
            <w:pPr>
              <w:numPr>
                <w:ilvl w:val="0"/>
                <w:numId w:val="5"/>
              </w:numPr>
              <w:tabs>
                <w:tab w:val="clear" w:pos="720"/>
                <w:tab w:val="num" w:pos="284"/>
                <w:tab w:val="num" w:pos="397"/>
              </w:tabs>
              <w:ind w:left="170" w:hanging="170"/>
              <w:rPr>
                <w:rFonts w:ascii="Calibri" w:hAnsi="Calibri" w:cs="Calibri"/>
                <w:sz w:val="20"/>
                <w:szCs w:val="20"/>
              </w:rPr>
            </w:pPr>
            <w:r w:rsidRPr="00795B69">
              <w:rPr>
                <w:rFonts w:ascii="Calibri" w:hAnsi="Calibri" w:cs="Arial"/>
                <w:sz w:val="20"/>
                <w:szCs w:val="20"/>
              </w:rPr>
              <w:t>vergleichen eigene mit fremden Erfahrungen in Bezug auf religiöse und ethische Fragen und bewerten Antworten auf diese</w:t>
            </w:r>
            <w:r w:rsidR="0060255C">
              <w:rPr>
                <w:rFonts w:ascii="Calibri" w:hAnsi="Calibri" w:cs="Arial"/>
                <w:sz w:val="20"/>
                <w:szCs w:val="20"/>
              </w:rPr>
              <w:t>.</w:t>
            </w:r>
            <w:r w:rsidRPr="00795B69">
              <w:rPr>
                <w:rFonts w:ascii="Calibri" w:hAnsi="Calibri" w:cs="Arial"/>
                <w:sz w:val="20"/>
                <w:szCs w:val="20"/>
              </w:rPr>
              <w:t xml:space="preserve"> (UK1)</w:t>
            </w:r>
          </w:p>
        </w:tc>
      </w:tr>
      <w:tr w:rsidR="00662095" w:rsidRPr="00545375" w14:paraId="177A310B" w14:textId="77777777" w:rsidTr="006007FD">
        <w:tc>
          <w:tcPr>
            <w:tcW w:w="14426" w:type="dxa"/>
            <w:gridSpan w:val="2"/>
            <w:shd w:val="clear" w:color="auto" w:fill="auto"/>
          </w:tcPr>
          <w:p w14:paraId="6B0F92F4" w14:textId="77777777" w:rsidR="00662095" w:rsidRPr="00795B69" w:rsidRDefault="00662095" w:rsidP="00C321B6">
            <w:pPr>
              <w:spacing w:before="60"/>
              <w:rPr>
                <w:rFonts w:ascii="Calibri" w:hAnsi="Calibri" w:cs="Calibri"/>
                <w:b/>
                <w:sz w:val="22"/>
                <w:szCs w:val="22"/>
              </w:rPr>
            </w:pPr>
            <w:r w:rsidRPr="00795B69">
              <w:rPr>
                <w:rFonts w:ascii="Calibri" w:hAnsi="Calibri" w:cs="Calibri"/>
                <w:b/>
                <w:sz w:val="22"/>
                <w:szCs w:val="22"/>
              </w:rPr>
              <w:t>Anknüpfungspunkte zum Schulprogramm:</w:t>
            </w:r>
          </w:p>
          <w:p w14:paraId="07BA772A" w14:textId="4F8583B1" w:rsidR="00662095" w:rsidRPr="00545375" w:rsidRDefault="00662095" w:rsidP="0054633E">
            <w:pPr>
              <w:jc w:val="both"/>
              <w:rPr>
                <w:rFonts w:ascii="Calibri" w:hAnsi="Calibri" w:cs="Calibri"/>
                <w:sz w:val="20"/>
                <w:szCs w:val="20"/>
              </w:rPr>
            </w:pPr>
            <w:r w:rsidRPr="00795B69">
              <w:rPr>
                <w:rFonts w:ascii="Calibri" w:hAnsi="Calibri" w:cs="Calibri"/>
                <w:sz w:val="22"/>
                <w:szCs w:val="22"/>
              </w:rPr>
              <w:t>z</w:t>
            </w:r>
            <w:r w:rsidRPr="00795B69">
              <w:rPr>
                <w:rFonts w:ascii="Calibri" w:hAnsi="Calibri" w:cs="Calibri"/>
                <w:sz w:val="20"/>
                <w:szCs w:val="20"/>
              </w:rPr>
              <w:t>.B. Schuleingangsgottesdienst</w:t>
            </w:r>
          </w:p>
        </w:tc>
      </w:tr>
      <w:tr w:rsidR="00662095" w:rsidRPr="00545375" w14:paraId="76B6BDD5" w14:textId="77777777" w:rsidTr="006007FD">
        <w:tc>
          <w:tcPr>
            <w:tcW w:w="8046" w:type="dxa"/>
            <w:shd w:val="clear" w:color="auto" w:fill="auto"/>
          </w:tcPr>
          <w:p w14:paraId="0D3C87FF" w14:textId="77777777" w:rsidR="00662095" w:rsidRPr="00795B69" w:rsidRDefault="00662095" w:rsidP="00C321B6">
            <w:pPr>
              <w:spacing w:before="60"/>
              <w:rPr>
                <w:rFonts w:ascii="Calibri" w:hAnsi="Calibri" w:cs="Calibri"/>
                <w:sz w:val="22"/>
                <w:szCs w:val="22"/>
              </w:rPr>
            </w:pPr>
            <w:r w:rsidRPr="00795B69">
              <w:rPr>
                <w:rFonts w:ascii="Calibri" w:hAnsi="Calibri" w:cs="Calibri"/>
                <w:b/>
                <w:sz w:val="22"/>
                <w:szCs w:val="22"/>
              </w:rPr>
              <w:t>Konkretisierte Kompetenzerwartungen:</w:t>
            </w:r>
            <w:r w:rsidRPr="00795B69">
              <w:rPr>
                <w:rFonts w:ascii="Calibri" w:hAnsi="Calibri" w:cs="Calibri"/>
                <w:sz w:val="22"/>
                <w:szCs w:val="22"/>
              </w:rPr>
              <w:t xml:space="preserve"> </w:t>
            </w:r>
          </w:p>
          <w:p w14:paraId="663A06F2" w14:textId="77777777" w:rsidR="00662095" w:rsidRPr="00795B69" w:rsidRDefault="00662095" w:rsidP="00C321B6">
            <w:pPr>
              <w:rPr>
                <w:rFonts w:ascii="Calibri" w:hAnsi="Calibri" w:cs="Calibri"/>
                <w:sz w:val="20"/>
                <w:szCs w:val="20"/>
              </w:rPr>
            </w:pPr>
            <w:r w:rsidRPr="00795B69">
              <w:rPr>
                <w:rFonts w:ascii="Calibri" w:hAnsi="Calibri" w:cs="Calibri"/>
                <w:sz w:val="20"/>
                <w:szCs w:val="20"/>
              </w:rPr>
              <w:t xml:space="preserve">Die Schülerinnen und Schüler </w:t>
            </w:r>
          </w:p>
          <w:p w14:paraId="5B294C6D" w14:textId="77777777" w:rsidR="00662095" w:rsidRDefault="00662095" w:rsidP="00662095">
            <w:pPr>
              <w:numPr>
                <w:ilvl w:val="0"/>
                <w:numId w:val="5"/>
              </w:numPr>
              <w:rPr>
                <w:rFonts w:ascii="Calibri" w:hAnsi="Calibri" w:cs="Arial"/>
                <w:sz w:val="20"/>
                <w:szCs w:val="20"/>
              </w:rPr>
            </w:pPr>
            <w:r>
              <w:rPr>
                <w:rFonts w:ascii="Calibri" w:hAnsi="Calibri" w:cs="Arial"/>
                <w:sz w:val="20"/>
                <w:szCs w:val="20"/>
              </w:rPr>
              <w:t>vergleichen Ausstattung und Funktion einer Synagoge, einer Kirche und einer Moschee, (K37)</w:t>
            </w:r>
          </w:p>
          <w:p w14:paraId="5A65DB9F" w14:textId="51DC6248" w:rsidR="00662095" w:rsidRPr="00795B69" w:rsidRDefault="00662095" w:rsidP="00662095">
            <w:pPr>
              <w:numPr>
                <w:ilvl w:val="0"/>
                <w:numId w:val="5"/>
              </w:numPr>
              <w:rPr>
                <w:rFonts w:ascii="Calibri" w:hAnsi="Calibri" w:cs="Arial"/>
                <w:sz w:val="20"/>
                <w:szCs w:val="20"/>
              </w:rPr>
            </w:pPr>
            <w:r w:rsidRPr="00795B69">
              <w:rPr>
                <w:rFonts w:ascii="Calibri" w:hAnsi="Calibri" w:cs="Arial"/>
                <w:sz w:val="20"/>
                <w:szCs w:val="20"/>
              </w:rPr>
              <w:t>beschreiben zentrale Rituale und religiöse Handlungen in Judentum, Christentum und Islam als Gestaltungen des Glaubens und Lebens</w:t>
            </w:r>
            <w:r w:rsidR="003A294D">
              <w:rPr>
                <w:rFonts w:ascii="Calibri" w:hAnsi="Calibri" w:cs="Arial"/>
                <w:sz w:val="20"/>
                <w:szCs w:val="20"/>
              </w:rPr>
              <w:t>,</w:t>
            </w:r>
            <w:r w:rsidRPr="00795B69">
              <w:rPr>
                <w:rFonts w:ascii="Calibri" w:hAnsi="Calibri" w:cs="Arial"/>
                <w:sz w:val="20"/>
                <w:szCs w:val="20"/>
              </w:rPr>
              <w:t xml:space="preserve"> (K38)</w:t>
            </w:r>
          </w:p>
          <w:p w14:paraId="10A73D6E" w14:textId="77777777" w:rsidR="00662095" w:rsidRPr="00795B69" w:rsidRDefault="00662095" w:rsidP="00662095">
            <w:pPr>
              <w:numPr>
                <w:ilvl w:val="0"/>
                <w:numId w:val="5"/>
              </w:numPr>
              <w:rPr>
                <w:rFonts w:ascii="Calibri" w:hAnsi="Calibri" w:cs="Arial"/>
                <w:sz w:val="20"/>
                <w:szCs w:val="20"/>
              </w:rPr>
            </w:pPr>
            <w:r w:rsidRPr="00795B69">
              <w:rPr>
                <w:rFonts w:ascii="Calibri" w:hAnsi="Calibri" w:cs="Arial"/>
                <w:sz w:val="20"/>
                <w:szCs w:val="20"/>
              </w:rPr>
              <w:t>erörtern an Beispielen Gemeinsamkeiten und Unterschiede in Glaube und Glaubenspraxis von Menschen jüdischen, christlichen sowie islamischen Glaubens, (K39)</w:t>
            </w:r>
          </w:p>
          <w:p w14:paraId="7AEC5031" w14:textId="0D16548C" w:rsidR="00662095" w:rsidRPr="00795B69" w:rsidRDefault="00662095" w:rsidP="00662095">
            <w:pPr>
              <w:numPr>
                <w:ilvl w:val="0"/>
                <w:numId w:val="5"/>
              </w:numPr>
              <w:rPr>
                <w:rFonts w:ascii="Calibri" w:hAnsi="Calibri" w:cs="Arial"/>
                <w:sz w:val="20"/>
                <w:szCs w:val="20"/>
              </w:rPr>
            </w:pPr>
            <w:r w:rsidRPr="00795B69">
              <w:rPr>
                <w:rFonts w:ascii="Calibri" w:hAnsi="Calibri" w:cs="Arial"/>
                <w:sz w:val="20"/>
                <w:szCs w:val="20"/>
              </w:rPr>
              <w:t>bewerten Verhalten gegenüber Menschen anderer religiöser Überzeugungen im Alltag in Bezug auf Wertschätzung und Respekt</w:t>
            </w:r>
            <w:r w:rsidR="003A294D">
              <w:rPr>
                <w:rFonts w:ascii="Calibri" w:hAnsi="Calibri" w:cs="Arial"/>
                <w:sz w:val="20"/>
                <w:szCs w:val="20"/>
              </w:rPr>
              <w:t>,</w:t>
            </w:r>
            <w:r w:rsidRPr="00795B69">
              <w:rPr>
                <w:rFonts w:ascii="Calibri" w:hAnsi="Calibri" w:cs="Arial"/>
                <w:sz w:val="20"/>
                <w:szCs w:val="20"/>
              </w:rPr>
              <w:t xml:space="preserve"> (K41)</w:t>
            </w:r>
          </w:p>
          <w:p w14:paraId="56CD6096" w14:textId="77777777" w:rsidR="00662095" w:rsidRPr="00795B69" w:rsidRDefault="00662095" w:rsidP="00662095">
            <w:pPr>
              <w:numPr>
                <w:ilvl w:val="0"/>
                <w:numId w:val="5"/>
              </w:numPr>
              <w:rPr>
                <w:rFonts w:ascii="Calibri" w:hAnsi="Calibri" w:cs="Arial"/>
                <w:sz w:val="20"/>
                <w:szCs w:val="20"/>
              </w:rPr>
            </w:pPr>
            <w:r w:rsidRPr="00795B69">
              <w:rPr>
                <w:rFonts w:ascii="Calibri" w:hAnsi="Calibri" w:cs="Arial"/>
                <w:sz w:val="20"/>
                <w:szCs w:val="20"/>
              </w:rPr>
              <w:t>identifizieren innerhalb des Jahreskreises christliche, jüdische und muslimische Feiertage, (K42)</w:t>
            </w:r>
          </w:p>
          <w:p w14:paraId="1FFF2CD7" w14:textId="77777777" w:rsidR="00662095" w:rsidRDefault="00662095" w:rsidP="00662095">
            <w:pPr>
              <w:numPr>
                <w:ilvl w:val="0"/>
                <w:numId w:val="5"/>
              </w:numPr>
              <w:rPr>
                <w:rFonts w:ascii="Calibri" w:hAnsi="Calibri" w:cs="Arial"/>
                <w:sz w:val="20"/>
                <w:szCs w:val="20"/>
              </w:rPr>
            </w:pPr>
            <w:r w:rsidRPr="00795B69">
              <w:rPr>
                <w:rFonts w:ascii="Calibri" w:hAnsi="Calibri" w:cs="Arial"/>
                <w:sz w:val="20"/>
                <w:szCs w:val="20"/>
              </w:rPr>
              <w:t>erklären Herkunft und Bedeutung christlicher Feiertage im Jahreskreis und vergleichen sie mit der Herkunft und Bedeutung jüdischer und muslimischer Feiertage, (K43)</w:t>
            </w:r>
          </w:p>
          <w:p w14:paraId="1EE3931D" w14:textId="3168BD27" w:rsidR="00662095" w:rsidRPr="00662095" w:rsidRDefault="00662095" w:rsidP="0060255C">
            <w:pPr>
              <w:numPr>
                <w:ilvl w:val="0"/>
                <w:numId w:val="5"/>
              </w:numPr>
              <w:rPr>
                <w:rFonts w:ascii="Calibri" w:hAnsi="Calibri" w:cs="Arial"/>
                <w:sz w:val="20"/>
                <w:szCs w:val="20"/>
              </w:rPr>
            </w:pPr>
            <w:r w:rsidRPr="00662095">
              <w:rPr>
                <w:rFonts w:ascii="Calibri" w:hAnsi="Calibri" w:cs="Arial"/>
                <w:sz w:val="20"/>
                <w:szCs w:val="20"/>
              </w:rPr>
              <w:t>setzen sich mit der Bedeutung von Festen, Feiern und Ritualen für die jüdische, christliche und muslimische Religion auseinander und formulieren erste Einschätzungen zu Ähnlichkeiten und Unterschieden</w:t>
            </w:r>
            <w:r w:rsidR="0060255C">
              <w:rPr>
                <w:rFonts w:ascii="Calibri" w:hAnsi="Calibri" w:cs="Arial"/>
                <w:sz w:val="20"/>
                <w:szCs w:val="20"/>
              </w:rPr>
              <w:t>.</w:t>
            </w:r>
            <w:r w:rsidRPr="00662095">
              <w:rPr>
                <w:rFonts w:ascii="Calibri" w:hAnsi="Calibri" w:cs="Arial"/>
                <w:sz w:val="20"/>
                <w:szCs w:val="20"/>
              </w:rPr>
              <w:t xml:space="preserve"> (K47)</w:t>
            </w:r>
          </w:p>
        </w:tc>
        <w:tc>
          <w:tcPr>
            <w:tcW w:w="6380" w:type="dxa"/>
            <w:shd w:val="clear" w:color="auto" w:fill="auto"/>
          </w:tcPr>
          <w:p w14:paraId="30A3E87C" w14:textId="77777777" w:rsidR="00662095" w:rsidRPr="00795B69" w:rsidRDefault="00662095" w:rsidP="00662095">
            <w:pPr>
              <w:spacing w:before="60"/>
              <w:rPr>
                <w:rFonts w:ascii="Calibri" w:hAnsi="Calibri" w:cs="Calibri"/>
                <w:sz w:val="22"/>
                <w:szCs w:val="22"/>
              </w:rPr>
            </w:pPr>
            <w:r w:rsidRPr="00795B69">
              <w:rPr>
                <w:rFonts w:ascii="Calibri" w:hAnsi="Calibri" w:cs="Calibri"/>
                <w:b/>
                <w:sz w:val="22"/>
                <w:szCs w:val="22"/>
              </w:rPr>
              <w:t>Hinweise zur Ausgestaltung</w:t>
            </w:r>
          </w:p>
          <w:p w14:paraId="1B1AAE7F" w14:textId="77777777" w:rsidR="00662095" w:rsidRPr="00795B69" w:rsidRDefault="00662095" w:rsidP="00662095">
            <w:pPr>
              <w:spacing w:before="60"/>
              <w:rPr>
                <w:rFonts w:ascii="Calibri" w:hAnsi="Calibri" w:cs="Calibri"/>
                <w:b/>
                <w:sz w:val="22"/>
                <w:szCs w:val="22"/>
              </w:rPr>
            </w:pPr>
            <w:r w:rsidRPr="00795B69">
              <w:rPr>
                <w:rFonts w:ascii="Calibri" w:hAnsi="Calibri" w:cs="Calibri"/>
                <w:b/>
                <w:sz w:val="22"/>
                <w:szCs w:val="22"/>
              </w:rPr>
              <w:t>Mögliche Unterrichtsbausteine:</w:t>
            </w:r>
          </w:p>
          <w:p w14:paraId="69A5029E" w14:textId="77777777" w:rsidR="00662095" w:rsidRPr="00795B69" w:rsidRDefault="00662095" w:rsidP="00662095">
            <w:pPr>
              <w:numPr>
                <w:ilvl w:val="0"/>
                <w:numId w:val="5"/>
              </w:numPr>
              <w:rPr>
                <w:rFonts w:ascii="Calibri" w:hAnsi="Calibri" w:cs="Calibri"/>
                <w:sz w:val="20"/>
                <w:szCs w:val="20"/>
              </w:rPr>
            </w:pPr>
            <w:r w:rsidRPr="00795B69">
              <w:rPr>
                <w:rFonts w:ascii="Calibri" w:hAnsi="Calibri" w:cs="Calibri"/>
                <w:sz w:val="20"/>
                <w:szCs w:val="20"/>
              </w:rPr>
              <w:t>Über mich selbst nachdenken: Ich habe eine Geschichte in meiner Familie</w:t>
            </w:r>
          </w:p>
          <w:p w14:paraId="7A626859" w14:textId="77777777" w:rsidR="00662095" w:rsidRPr="00795B69" w:rsidRDefault="00662095" w:rsidP="00662095">
            <w:pPr>
              <w:numPr>
                <w:ilvl w:val="0"/>
                <w:numId w:val="5"/>
              </w:numPr>
              <w:rPr>
                <w:rFonts w:ascii="Calibri" w:hAnsi="Calibri" w:cs="Calibri"/>
                <w:sz w:val="20"/>
                <w:szCs w:val="20"/>
              </w:rPr>
            </w:pPr>
            <w:r w:rsidRPr="00795B69">
              <w:rPr>
                <w:rFonts w:ascii="Calibri" w:hAnsi="Calibri" w:cs="Calibri"/>
                <w:sz w:val="20"/>
                <w:szCs w:val="20"/>
              </w:rPr>
              <w:t>Die anderen wahrnehmen: Jeder hat eine eigene Geschichte in seiner Familie</w:t>
            </w:r>
          </w:p>
          <w:p w14:paraId="2C4A0F53" w14:textId="77777777" w:rsidR="00662095" w:rsidRPr="00795B69" w:rsidRDefault="00662095" w:rsidP="00662095">
            <w:pPr>
              <w:numPr>
                <w:ilvl w:val="0"/>
                <w:numId w:val="5"/>
              </w:numPr>
              <w:rPr>
                <w:rFonts w:ascii="Calibri" w:hAnsi="Calibri" w:cs="Calibri"/>
                <w:sz w:val="20"/>
                <w:szCs w:val="20"/>
              </w:rPr>
            </w:pPr>
            <w:r w:rsidRPr="00795B69">
              <w:rPr>
                <w:rFonts w:ascii="Calibri" w:hAnsi="Calibri" w:cs="Calibri"/>
                <w:sz w:val="20"/>
                <w:szCs w:val="20"/>
              </w:rPr>
              <w:t>Religiöse Familiengeschichten: Welche Rolle der Glaube bei uns spielt</w:t>
            </w:r>
          </w:p>
          <w:p w14:paraId="303AB9B2" w14:textId="77777777" w:rsidR="00662095" w:rsidRPr="00795B69" w:rsidRDefault="00662095" w:rsidP="00662095">
            <w:pPr>
              <w:numPr>
                <w:ilvl w:val="0"/>
                <w:numId w:val="5"/>
              </w:numPr>
              <w:rPr>
                <w:rFonts w:ascii="Calibri" w:hAnsi="Calibri" w:cs="Calibri"/>
                <w:sz w:val="20"/>
                <w:szCs w:val="20"/>
              </w:rPr>
            </w:pPr>
            <w:r w:rsidRPr="00795B69">
              <w:rPr>
                <w:rFonts w:ascii="Calibri" w:hAnsi="Calibri" w:cs="Calibri"/>
                <w:sz w:val="20"/>
                <w:szCs w:val="20"/>
              </w:rPr>
              <w:t>Religiöse Feiern: Wie es bei uns feierlich wird</w:t>
            </w:r>
          </w:p>
          <w:p w14:paraId="57F2B3A2" w14:textId="77777777" w:rsidR="00662095" w:rsidRPr="00795B69" w:rsidRDefault="00662095" w:rsidP="00662095">
            <w:pPr>
              <w:numPr>
                <w:ilvl w:val="0"/>
                <w:numId w:val="5"/>
              </w:numPr>
              <w:rPr>
                <w:rFonts w:ascii="Calibri" w:hAnsi="Calibri" w:cs="Calibri"/>
                <w:sz w:val="20"/>
                <w:szCs w:val="20"/>
              </w:rPr>
            </w:pPr>
            <w:r w:rsidRPr="00795B69">
              <w:rPr>
                <w:rFonts w:ascii="Calibri" w:hAnsi="Calibri" w:cs="Calibri"/>
                <w:sz w:val="20"/>
                <w:szCs w:val="20"/>
              </w:rPr>
              <w:t>Religiöse Orte: Da bin ich schon gewesen – oder: Da gehe ich immer hin</w:t>
            </w:r>
          </w:p>
          <w:p w14:paraId="14E2431E" w14:textId="77777777" w:rsidR="00662095" w:rsidRPr="00795B69" w:rsidRDefault="00662095" w:rsidP="0054633E">
            <w:pPr>
              <w:rPr>
                <w:rFonts w:ascii="Calibri" w:hAnsi="Calibri" w:cs="Calibri"/>
                <w:b/>
                <w:sz w:val="22"/>
                <w:szCs w:val="22"/>
              </w:rPr>
            </w:pPr>
            <w:r w:rsidRPr="00795B69">
              <w:rPr>
                <w:rFonts w:ascii="Calibri" w:hAnsi="Calibri" w:cs="Calibri"/>
                <w:b/>
                <w:sz w:val="22"/>
                <w:szCs w:val="22"/>
              </w:rPr>
              <w:t xml:space="preserve">Didaktisch-methodische Hinweise: </w:t>
            </w:r>
          </w:p>
          <w:p w14:paraId="473593A4" w14:textId="77777777" w:rsidR="00662095" w:rsidRPr="00795B69" w:rsidRDefault="00662095" w:rsidP="00662095">
            <w:pPr>
              <w:numPr>
                <w:ilvl w:val="0"/>
                <w:numId w:val="5"/>
              </w:numPr>
              <w:rPr>
                <w:rFonts w:ascii="Calibri" w:hAnsi="Calibri" w:cs="Calibri"/>
                <w:sz w:val="20"/>
                <w:szCs w:val="20"/>
              </w:rPr>
            </w:pPr>
            <w:r w:rsidRPr="00795B69">
              <w:rPr>
                <w:rFonts w:ascii="Calibri" w:hAnsi="Calibri" w:cs="Calibri"/>
                <w:sz w:val="20"/>
                <w:szCs w:val="20"/>
              </w:rPr>
              <w:t>Entdecken von Ähnlichkeiten und Unterschieden in der religiösen Prägung verknüpfen mit dem gemeinsamen Formulieren von Regeln des Respekts: Wie können wir gut miteinander umgehen, so dass sich jede/r in unserem RU zu Hause fühlt?</w:t>
            </w:r>
          </w:p>
          <w:p w14:paraId="532CBF61" w14:textId="2797F446" w:rsidR="00662095" w:rsidRPr="00662095" w:rsidRDefault="00662095" w:rsidP="0054633E">
            <w:pPr>
              <w:rPr>
                <w:rFonts w:ascii="Calibri" w:hAnsi="Calibri" w:cs="Arial"/>
                <w:sz w:val="20"/>
                <w:szCs w:val="20"/>
              </w:rPr>
            </w:pPr>
            <w:r w:rsidRPr="00795B69">
              <w:rPr>
                <w:rFonts w:ascii="Calibri" w:hAnsi="Calibri" w:cs="Calibri"/>
                <w:b/>
                <w:sz w:val="22"/>
                <w:szCs w:val="22"/>
              </w:rPr>
              <w:t>Zeitbedarf: ca. 10 Stunden</w:t>
            </w:r>
          </w:p>
        </w:tc>
      </w:tr>
    </w:tbl>
    <w:p w14:paraId="5B9D8D29" w14:textId="77777777" w:rsidR="00E067B0" w:rsidRPr="0054633E" w:rsidRDefault="00E067B0" w:rsidP="0054633E">
      <w:pPr>
        <w:rPr>
          <w:rFonts w:asciiTheme="minorHAnsi" w:hAnsiTheme="minorHAnsi"/>
        </w:rPr>
      </w:pPr>
    </w:p>
    <w:sectPr w:rsidR="00E067B0" w:rsidRPr="0054633E" w:rsidSect="007016F1">
      <w:pgSz w:w="16838" w:h="11906" w:orient="landscape"/>
      <w:pgMar w:top="1134" w:right="1418"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F55"/>
    <w:multiLevelType w:val="hybridMultilevel"/>
    <w:tmpl w:val="02C6B4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0147F"/>
    <w:multiLevelType w:val="hybridMultilevel"/>
    <w:tmpl w:val="BA24AB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93EC1"/>
    <w:multiLevelType w:val="hybridMultilevel"/>
    <w:tmpl w:val="065407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B02C5"/>
    <w:multiLevelType w:val="hybridMultilevel"/>
    <w:tmpl w:val="FEA81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B254E"/>
    <w:multiLevelType w:val="hybridMultilevel"/>
    <w:tmpl w:val="1AFEC7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420F4A"/>
    <w:multiLevelType w:val="hybridMultilevel"/>
    <w:tmpl w:val="8E6AF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A72E89"/>
    <w:multiLevelType w:val="hybridMultilevel"/>
    <w:tmpl w:val="A224D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C62BE9"/>
    <w:multiLevelType w:val="hybridMultilevel"/>
    <w:tmpl w:val="55E6AA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57F5C"/>
    <w:multiLevelType w:val="hybridMultilevel"/>
    <w:tmpl w:val="64FEC00E"/>
    <w:lvl w:ilvl="0" w:tplc="0407001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7E"/>
    <w:rsid w:val="002000F9"/>
    <w:rsid w:val="00222BEA"/>
    <w:rsid w:val="00291DA0"/>
    <w:rsid w:val="00297D52"/>
    <w:rsid w:val="003A294D"/>
    <w:rsid w:val="003A7D80"/>
    <w:rsid w:val="0046007B"/>
    <w:rsid w:val="0054633E"/>
    <w:rsid w:val="0058236A"/>
    <w:rsid w:val="0060255C"/>
    <w:rsid w:val="00662095"/>
    <w:rsid w:val="007016F1"/>
    <w:rsid w:val="007D036E"/>
    <w:rsid w:val="007D0EFE"/>
    <w:rsid w:val="009256C6"/>
    <w:rsid w:val="00B5717F"/>
    <w:rsid w:val="00BB65FB"/>
    <w:rsid w:val="00BC6F7E"/>
    <w:rsid w:val="00C05D13"/>
    <w:rsid w:val="00CA6128"/>
    <w:rsid w:val="00CC500C"/>
    <w:rsid w:val="00E067B0"/>
    <w:rsid w:val="00FB48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043B0"/>
  <w15:docId w15:val="{35C777ED-1850-422B-85D2-E98B2A4A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6F7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2767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Hartwig, Cordula</dc:creator>
  <cp:lastModifiedBy>Silke Walpuski</cp:lastModifiedBy>
  <cp:revision>2</cp:revision>
  <dcterms:created xsi:type="dcterms:W3CDTF">2019-12-20T15:02:00Z</dcterms:created>
  <dcterms:modified xsi:type="dcterms:W3CDTF">2019-12-20T15:02:00Z</dcterms:modified>
</cp:coreProperties>
</file>